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D" w:rsidRPr="0092549D" w:rsidRDefault="0092549D" w:rsidP="00925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№1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конкурсной документации</w:t>
      </w: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УТВЕРЖДАЮ: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Генеральный директор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 «Заполярный жилищный трест»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О.Б. Арапова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«___» __________ 2026 г.</w:t>
      </w:r>
    </w:p>
    <w:p w:rsidR="0092549D" w:rsidRP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1D2" w:rsidRPr="006671D2" w:rsidRDefault="006671D2" w:rsidP="006671D2">
      <w:pPr>
        <w:spacing w:after="160" w:line="259" w:lineRule="auto"/>
        <w:jc w:val="center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 xml:space="preserve">ТЕХНИЧЕСКОЕ ЗАДАНИЕ  </w:t>
      </w:r>
    </w:p>
    <w:p w:rsidR="006671D2" w:rsidRPr="006671D2" w:rsidRDefault="00621408" w:rsidP="006671D2">
      <w:pPr>
        <w:spacing w:after="160" w:line="240" w:lineRule="auto"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НА ВЫПОЛНЕНИЕ </w:t>
      </w:r>
      <w:r w:rsidRPr="00415F0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Й</w:t>
      </w:r>
      <w:r w:rsidRPr="00415F0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ПО ТЕРМОСТАБИЛИЗАЦИИ ГРУНТОВ ОСНОВАНИЯ МНОГОКВАРТИРНОГО ЖИЛОГО ДОМА ПО АДРЕСУ: Г.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 </w:t>
      </w:r>
      <w:r w:rsidRPr="00415F0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НОРИЛЬСК, ПР. ЛЕНИНСКИЙ, Д. 5 (КАПИТАЛЬНЫЙ РЕМОНТ/СОХРАНЕНИЕ ОБЪЕКТА КУЛЬТУРНОГО НАСЛЕДИЯ)</w:t>
      </w:r>
    </w:p>
    <w:p w:rsidR="006671D2" w:rsidRPr="006671D2" w:rsidRDefault="006671D2" w:rsidP="006671D2">
      <w:pPr>
        <w:spacing w:after="160" w:line="240" w:lineRule="auto"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numPr>
          <w:ilvl w:val="0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Общая часть.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Заказчик - Общество с ограниченной ответственностью «Заполярный жилищный трест» - Управляющая организация, осуществляющая управление многоквартирным домом.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Исполнитель - </w:t>
      </w:r>
      <w:bookmarkStart w:id="0" w:name="_GoBack"/>
      <w:bookmarkEnd w:id="0"/>
      <w:r w:rsidRPr="0068737D">
        <w:rPr>
          <w:rFonts w:ascii="Times New Roman" w:eastAsia="Malgun Gothic" w:hAnsi="Times New Roman" w:cs="Times New Roman"/>
          <w:sz w:val="28"/>
          <w:szCs w:val="28"/>
          <w:lang w:eastAsia="ko-KR"/>
        </w:rPr>
        <w:t>Общество с ограниченной ответственностью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«</w:t>
      </w:r>
      <w:r w:rsidR="0068737D">
        <w:rPr>
          <w:rFonts w:ascii="Times New Roman" w:eastAsia="Malgun Gothic" w:hAnsi="Times New Roman" w:cs="Times New Roman"/>
          <w:sz w:val="28"/>
          <w:szCs w:val="28"/>
          <w:lang w:eastAsia="ko-KR"/>
        </w:rPr>
        <w:t>______________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»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Вид работ – </w:t>
      </w:r>
      <w:r w:rsidR="0062140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капитальный ремонт / </w:t>
      </w:r>
      <w:r w:rsidR="00167A7C">
        <w:rPr>
          <w:rFonts w:ascii="Times New Roman" w:eastAsia="Malgun Gothic" w:hAnsi="Times New Roman" w:cs="Times New Roman"/>
          <w:sz w:val="28"/>
          <w:szCs w:val="28"/>
          <w:lang w:eastAsia="ko-KR"/>
        </w:rPr>
        <w:t>сохранение объекта культурного наследия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рамках утвержденной муниципальной программы постановлением Администрации г. Норильска Красноярского края от 7 декабря 2016 г. N 585 «Реформирования и модернизации жилищно-коммунального хозяйства и повышения энергетической эффективности». Подпрограмма 4 «Организация проведения ремонтов многоквартирных домов». Мероприятия «сохранения устойчивости зданий жилищного фонда».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Место нахождения объекта: Красноярский край, г. Норильск, пр. Ленинский, д. 5.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Характеристики объекта</w:t>
      </w:r>
      <w:r w:rsidR="00DA679D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культурного наследия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Год ввода в эксплуатацию - 1951;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Количество этажей – 5;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Капитальные несущие стены – кирпичные.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Идентификационные признаки объекта: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1.7.1 Назначение - многоквартирный жилой дом, код ОКС 01.02.001.003 в соответствии с Приказом Минстроя России от 02.11.2022 № 928/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строительства)»;</w:t>
      </w:r>
    </w:p>
    <w:p w:rsidR="006671D2" w:rsidRPr="006671D2" w:rsidRDefault="006671D2" w:rsidP="006671D2">
      <w:pPr>
        <w:tabs>
          <w:tab w:val="left" w:pos="0"/>
        </w:tabs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1.7.2. Принадлежность к объектам транспортной инфраструктуры - не принадлежит;</w:t>
      </w:r>
    </w:p>
    <w:p w:rsidR="006671D2" w:rsidRPr="006671D2" w:rsidRDefault="006671D2" w:rsidP="006671D2">
      <w:pPr>
        <w:tabs>
          <w:tab w:val="left" w:pos="0"/>
        </w:tabs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1.7.3.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 - территория распространения многолетнемерзлых грунтов;</w:t>
      </w:r>
    </w:p>
    <w:p w:rsidR="006671D2" w:rsidRPr="006671D2" w:rsidRDefault="006671D2" w:rsidP="006671D2">
      <w:pPr>
        <w:tabs>
          <w:tab w:val="left" w:pos="0"/>
        </w:tabs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1.7.4 Принадлежность к опасным производственным объектам - не принадлежит;</w:t>
      </w:r>
    </w:p>
    <w:p w:rsidR="006671D2" w:rsidRPr="006671D2" w:rsidRDefault="006671D2" w:rsidP="006671D2">
      <w:pPr>
        <w:tabs>
          <w:tab w:val="left" w:pos="0"/>
        </w:tabs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1.7.5 Категория здания по пожарной и взрывопожарной опасности – Д (пониженная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пожароопасность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1.7.6. Наличие помещений с постоянным пребыванием людей - есть;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1.7.7. Уровень ответственности - 2 - нормальный уровень ответственности.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1.7.8 Сведения об объекте: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Габариты здания: 115.7х37.3 м;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Количество этажей – 5;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Этажность – 5;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Конструктивная схема здания: Бескаркасная система с наружными и внутренними несущими стенами;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Фундамент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ы-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бетонные столбы, глубиной заложения 4-8 м.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Предполагаемая нагрузка на фундаменты: 208 т.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Абсолютные отметки фундамента (отметка низа заложения фундамента) – переменная, в зависимости от рельефа местности от 72 до 74,5.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Глубина зоны механического и теплового взаимодействия зданий и сооружений с геологической средой - 4 м от подошвы фундамента.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Здание построено по принципу 1, с сохранением грунтового основания в мёрзлом состоянии СП 25.13330.2020 «СНиП 2.02.04-88 Основания и фундаменты на вечномёрзлых грунтах».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Окружающие здания построены по принципу 1,</w:t>
      </w:r>
      <w:r w:rsidRPr="006671D2">
        <w:rPr>
          <w:rFonts w:ascii="Times New Roman" w:eastAsia="Malgun Gothic" w:hAnsi="Times New Roman" w:cs="Times New Roman"/>
          <w:lang w:eastAsia="ko-KR"/>
        </w:rPr>
        <w:t xml:space="preserve">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 сохранением грунтового основания в мёрзлом состоянии СП 25.13330.2020 «СНиП 2.02.04-88 Основания и фундаменты на вечномёрзлых грунтах».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Calibri" w:eastAsia="Malgun Gothic" w:hAnsi="Calibri" w:cs="Times New Roman"/>
          <w:lang w:eastAsia="ko-KR"/>
        </w:rPr>
        <w:t xml:space="preserve">-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Температуру теплоносителей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водонесущих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тепловыделяющих систем проходящих в вентилируемом подполье принять следующими: 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системы отопления 80 °C (подача) / 70 °C (обратка);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системы горячего водоснабжения 65 °C (подача) / 60 °C (циркуляция);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системы водоотведения (канализация) 20 °C.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Конструктивные характеристики здания принять следующими: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Плита перекрытия 1-го этажа – железобетонная монолитная плита толщиной 100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Плиты перекрытия 2-го, 3-го, 4-го, 5-го этажей, чердачное перекрытие – железобетонные монолитные плиты толщиной 200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Стены – кирпичные, толщиной 640 мм, 420 мм и 380 мм, оштукатуренные, штукатурный слой принять по 20 мм с каждой стороны.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 полов принять следующими: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 пола 1-го этажа: Бой кирпича 50 мм, пенобетон 70 мм, стяжка 50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Состав пола 2-го, 3-го, 4-го, 5-го этажей: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Досчатое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покрытие 50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 пола чердачного перекрытия: Бой кирпича 50 мм, пенобетон 70 мм, стяжка 50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Вес кровли на 1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п.м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 принять по нормативной нагрузке: Брус – 0,144 т/м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2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, Металл 5 мм – 0,31 т/м</w:t>
      </w:r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2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. 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Плотность материалов принять следующими: Бой кирпича 1,8 т/м</w:t>
      </w:r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3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, пенобетон 1,2 т/м</w:t>
      </w:r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3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, стяжка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ц.п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.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/сух. 1,8 т/м</w:t>
      </w:r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3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Арматуру во всех железобетонных конструкциях принять классом А400.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Здания Окружающая застройка 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Источник финансирования – местный бюджет.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Главный распорядитель средств субсидий (Инвестор) – Муниципальное казённое учреждение «Управление жилищно-коммунального хозяйства».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Стадийность разработки документации – инженерные изыскания, проектная, сметная документация.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Срок выполнения работ с момента заключения договора до 3</w:t>
      </w:r>
      <w:r w:rsidR="00DA679D">
        <w:rPr>
          <w:rFonts w:ascii="Times New Roman" w:eastAsia="Malgun Gothic" w:hAnsi="Times New Roman" w:cs="Times New Roman"/>
          <w:sz w:val="28"/>
          <w:szCs w:val="28"/>
          <w:lang w:eastAsia="ko-KR"/>
        </w:rPr>
        <w:t>0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.11.2026 г.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Гарантийный срок качества выполненных работ – 60 (шестьдесят) месяцев со дня, следующего за днем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подписания акта приемки объекта капитального строительства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</w:t>
      </w:r>
    </w:p>
    <w:p w:rsidR="006671D2" w:rsidRPr="006671D2" w:rsidRDefault="006671D2" w:rsidP="006671D2">
      <w:pPr>
        <w:spacing w:after="160" w:line="240" w:lineRule="auto"/>
        <w:ind w:left="709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8737D" w:rsidRDefault="006671D2" w:rsidP="006671D2">
      <w:pPr>
        <w:numPr>
          <w:ilvl w:val="0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8737D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Выполнение работ предусматривает следующее: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 xml:space="preserve">2.1 Обследование технического состояния здания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Цель обследования: Оценка фактического технического состояния строительных конструкций здания в границах проведения работ по прочностным и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деформативным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показателям для разработки проекта капитального ремонта нулевого цикла МКД и при необходимости разработки проекта термостабилизации основания.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Разработка и согласование программы обследования;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Ознакомление с объектом обследования;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Изучение проектной, рабочей и исполнительной (и прочей) документации: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Результаты геотехнического мониторинга;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Архивные материалы, содержащие информацию о проектной и исполнительной документации;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Работы по предварительному (визуальному) обследованию;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Детальный осмотр конструкций ниже отметки 0,000: фундамент, фундаментные балки, перекрытия над вентилируемым подпольем,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 xml:space="preserve">ограждающие конструкции вентилируемого подполья, покрытие и лотки подполья, в том числе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водонесущих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инженерных коммуникаций;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конструктивной схемы в границах проведения работ;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Составление ведомостей (карт) дефектов и повреждений обследуемых конструкций в границах проведения работ с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фотофиксацией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; 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аварийных участков (при наличии);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Детальное (инструментальное) обследование строительных конструкций ниже отметки 0,000: фундамент, фундаментные балки, перекрытие над вентилируемым подпольем, ограждающие конструкции вентилируемого подполья, покрытие и лотки технического подполья, а также грунты основания и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водонесущие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инженерные коммуникации.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Измерение необходимых для выполнения целей обследования геометрических параметров здания, конструкций с составлением планов и характерных разрезов в границах проведения работ;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Выполнение инструментального определения параметров дефектов и повреждений строительных конструкций;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При обнаружении аварийных участков выполнить сплошное исследование аварийных конструкций (при необходимости);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прочности бетона в бетонных и железобетонных конструкциях механическими приборами, определение защитного слоя бетона и диаметра арматуры неразрушающим магнитным методом;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параметров эксплуатационной среды вентилируемого подолья;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эксплуатационных нагрузок и воздействий, воспринимаемых обследуемыми конструкциями с учетом влияния деформаций несущих конструкций и грунтов основания;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расчетной схемы здания и отдельных обследуемых конструкций;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Выполнение поверочных расчетов с учетом фактических эксплуатационных нагрузок по результатам обследования фундаментов, фундаментных балок с определением расчетных усилий в несущих конструкциях; поверочный расчет основания фундаментов;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59" w:lineRule="auto"/>
        <w:ind w:left="0"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Анализ причин появления дефектов (повреждений) в конструкциях;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Составление уточненной ведомости дефектов с рекомендациями по их устранению;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Выполнение графической документации (схем, чертежей,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фотофиксаций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Камеральная обработка результатов и составление Заключения с выводами по результатам обследования;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и обоснование категории технического состояния конструкций в границах проведения работ;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Инженерно-геологические изыскания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Составление программы инженерных изысканий.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Полевые работы: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Колонковое бурение скважин диаметром до 90 мм. Расположение и количество скважин, их глубину принять согласно п. 6.2.2.6, п. 6.2.2.7 СП 493.1325800.2020.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2.3.2.2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Стационарное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наблюдения в скважинах за температурой пород.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2.3.2.3 Проведение полевых испытаний грунтов не требуется.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2.3.2.4 Обследование состояния грунтов оснований здания (проходка шурфов) не требуется.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 Лабораторные работы: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2.3.3.1 Полный комплекс определений физико-механических свой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ств гр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унтов с получением следующих лабораторных показателей: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2.3.3.1.1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Д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ля талых глинистых и песчаных грунтов: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природная влажность;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природная плотность грунта;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плотность частиц грунта;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на границе текучести;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влажность на границе раскатывания;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относительное содержание органических веществ;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удельное сцепление;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угол внутреннего трения;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модуль деформации грунта.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Calibri" w:hAnsi="Times New Roman" w:cs="Times New Roman"/>
          <w:sz w:val="28"/>
          <w:szCs w:val="28"/>
        </w:rPr>
        <w:t>- значения модуля деформации талого грунта принять в интервале давлений 0,1-0,2 МПа.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2.3.3.1.2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Д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ля мерзлых глинистых и песчаных грунтов: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суммарная;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за счет содержащейся незамерзшей воды;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влажность между ледяными прослойками;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за счет порового льда;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на границе текучести;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влажность на границе раскатывания;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плотность мерзлого грунта;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плотность частиц грунта;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относительное содержание органических веществ;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концентрация порового раствора;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сопротивление срезу по поверхности смерзания с бетоном (грунт-бетон),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Raf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эквивалентное сцепление;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коэффициент оттаивания;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коэффициент сжимаемости при оттаивании;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коэффициент сжимаемости мёрзлого грунта;</w:t>
      </w:r>
    </w:p>
    <w:p w:rsidR="006671D2" w:rsidRPr="006671D2" w:rsidRDefault="006671D2" w:rsidP="006671D2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модуль деформации мерзлого грунта.</w:t>
      </w:r>
    </w:p>
    <w:p w:rsidR="006671D2" w:rsidRPr="006671D2" w:rsidRDefault="006671D2" w:rsidP="006671D2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6671D2">
        <w:rPr>
          <w:rFonts w:ascii="Times New Roman" w:eastAsia="Calibri" w:hAnsi="Times New Roman" w:cs="Times New Roman"/>
          <w:sz w:val="28"/>
          <w:szCs w:val="28"/>
        </w:rPr>
        <w:t>- значения коэффициента сжимаемости и модуля деформации мерзлого грунта принять в интервале давлений 0,1-0,2 МПа, испытания провести согласно ГОСТ 12248.10-2020.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2.3.3.2 Температуру начала замерзания и теплофизические характеристики грунтов привести согласно СП 25.13330.2020.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2.3.3.3 Испытания мерзлых грунтов провести при температуре -1 °С.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2.3.3.4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О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пределить коррозионные свойства грунтов и грунтовых вод по отношению к стали, агрессивность грунтов по отношению к бетону и арматуре железобетонных конструкций,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пучинистость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грунтов.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 Камеральные работы: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2.3.4.1 Составление программы производства работ.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2.3.4.2 Камеральная обработка буровых работ;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2.3.4.3 Камеральная обработка комплексных исследований и отдельных определений физико-механических свой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ств гр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унтов (пород);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2.3.4.4 Камеральная обработка термометрических наблюдений за глубиной сезонного промерзания (простаивания) грунтов;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2.3.4.5 Составление технического отчета (заключения) о результатах выполненных работ;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2.3.4.6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О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беспечить доверительную вероятность расчетных данных и характеристик: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для первой группы предельных состояний - 0.95;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для второй группы предельных состояний - 0.85.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2.4 Разработка проектно-сметной документации.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2.4.1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азработать проектную документацию в стадии «П» (проектная документация) и в стадии «Р» рабочая документация. Разделы проектной документации предусмотреть в соответствии с требованиями от 16 февраля 2008 года №87 Постановления Правительства «О составе разделов проектной документации и требованиях к их содержанию».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2.4.2 Проектную часть выполнить в составе: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раздел 1 «Пояснительная записка;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раздел 2 «Схема планировочной организации земельного участка»;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раздел 4 «Конструктивные решения»;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раздел 7 «Проект организации строительства»;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раздел 12 «Смета на строительства объектов капитального строительства».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2.5 Организация получения заключений государственной экспертизы (в пределах настоящего договора).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2.5.1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Получение положительного заключения о соответствии результатов инженерных изысканий требованиям технических регламентов в Краевом государственном автономном учреждении «Красноярская краевая государственная экспертиза».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2.5.2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Получение положительного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заключения государственной экспертизы проверки достоверности </w:t>
      </w:r>
      <w:r w:rsidR="00076E79">
        <w:rPr>
          <w:rFonts w:ascii="Times New Roman" w:eastAsia="Malgun Gothic" w:hAnsi="Times New Roman" w:cs="Times New Roman"/>
          <w:sz w:val="28"/>
          <w:szCs w:val="28"/>
          <w:lang w:eastAsia="ko-KR"/>
        </w:rPr>
        <w:t>проектных решений</w:t>
      </w:r>
      <w:proofErr w:type="gramEnd"/>
      <w:r w:rsidR="00076E79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сметной стоимости в Краевом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государственном автономном учреждении «Красноярская краевая государственная экспертиза».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3. Основные требования к выполнению работ.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 Требования к содержанию, объему и качеству работ: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 Федерального Закона №51 от 30.11.1994 г. «Гражданский кодекс Российской Федерации»;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3.1.2 Федерального Закона №190 от 29.12.2004 г. «Градостроительный кодекс Российской Федерации»;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3.1.3 Федерального Закона от 30 декабря 2009 г. №384-ФЗ «Технический регламент о безопасности зданий и сооружений» (включая Приказ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Росстандарта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№-831 от 17.04.2019);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3.1.4 Межгосударственный стандарт ГОСТ 31937-2024 «Здания и сооружения. Правила обследования и мониторинга технического состояния»;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3.1.5 Свод правил по проектированию и строительству СП 13-102-2003 «Правила обследования несущих строительных конструкций зданий и сооружений»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3.1.6 Свод правил по проектированию и строительству СП 25.13330.2020 «Основания и фундаменты на вечномерзлых грунтах»;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3.1.7 Свод правил по проектированию и строительству СП 454.1325800.2019 «Свод правил. Здания жилые многоквартирные. Правила оценки аварийного и ограниченно-работоспособного технического состояния»;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3.1.8 МДС 13-20.2004 «Комплексная методика по обследованию и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энергоаудиту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реконструируемых зданий. Пособие по проектированию»;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3.1.9 МДС 48-86(р) №Правила безопасности при проведении обследования жилых зданий для проектирования капитального ремонта»;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3.1.10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ными действующими нормативными документами обязательными для применения на территории РФ;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3.1.11 Обследование основания и фундаментов провести с целью определения: проведения обмерных работ несущих и ограждающих конструкций фундаментов (фундаментов, балок, плит перекрытия, ограждающих конструкций подполья); дефектов фундаментов здания с составлением ведомости дефектов; объемов работ и материалов, необходимых для устранения дефектов.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Подтвердить инженерно-геологическими изысканиями изученность оттаивания мерзлого грунта.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</w:t>
      </w:r>
      <w:r w:rsidR="00076E79">
        <w:rPr>
          <w:rFonts w:ascii="Times New Roman" w:eastAsia="Malgun Gothic" w:hAnsi="Times New Roman" w:cs="Times New Roman"/>
          <w:sz w:val="28"/>
          <w:szCs w:val="28"/>
          <w:lang w:eastAsia="ko-KR"/>
        </w:rPr>
        <w:t>2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Раздел по восстановлению несущих конструкций фундаментов разработать на основании отчетных материалах обследования. В рамках раздела предусмотреть работы и материалы на восстановление элементов благоустройства территории (при необходимости).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</w:t>
      </w:r>
      <w:r w:rsidR="00076E79">
        <w:rPr>
          <w:rFonts w:ascii="Times New Roman" w:eastAsia="Malgun Gothic" w:hAnsi="Times New Roman" w:cs="Times New Roman"/>
          <w:sz w:val="28"/>
          <w:szCs w:val="28"/>
          <w:lang w:eastAsia="ko-KR"/>
        </w:rPr>
        <w:t>3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Раздел по устройству (дооборудованию) сети ГТМ разработать при необходимости. Необходимость определить в ходе обследования.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</w:t>
      </w:r>
      <w:r w:rsidR="00076E79">
        <w:rPr>
          <w:rFonts w:ascii="Times New Roman" w:eastAsia="Malgun Gothic" w:hAnsi="Times New Roman" w:cs="Times New Roman"/>
          <w:sz w:val="28"/>
          <w:szCs w:val="28"/>
          <w:lang w:eastAsia="ko-KR"/>
        </w:rPr>
        <w:t>4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азработать проект стабилизации основания при необходимости, руководствуясь результатами инженерных изысканий. Необходимость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 xml:space="preserve">определить в ходе обследования. Метод стабилизации согласовать с заказчиком перед началом проектирования.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</w:t>
      </w:r>
      <w:r w:rsidR="00076E79">
        <w:rPr>
          <w:rFonts w:ascii="Times New Roman" w:eastAsia="Malgun Gothic" w:hAnsi="Times New Roman" w:cs="Times New Roman"/>
          <w:sz w:val="28"/>
          <w:szCs w:val="28"/>
          <w:lang w:eastAsia="ko-KR"/>
        </w:rPr>
        <w:t>5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сходя из оценки несущей способности ж/б конструкций, определить методы по восстановлению, в том числе с применением технологий внешнего армирования (по СП 164.1325800.2014), а также конструкционного ремонта железобетонных конструкций согласно требованиям СП 28.13330.2017, а также ГОСТ 32017-2012, ГОСТ 33762-2016, ГОСТ 56378-2015.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3.2 Требования к составлению сметной документации.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Сметную документацию разработать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«утверждённой приказом Министерства строительства и жилищн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о-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коммунального хозяйства Российской Федераци11 от 4 августа 2020 r. № 421/пр. ресурсно-индексным методом (РИМ) с применением ФСНБ-2022 ( Изм.1-8) на основании Приказ Минстроя России от 30.12.2021 № 1046/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04.08.2020 № 421 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21.12.2020 № 812/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11.12.2020 № 774/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02.08.2023 № 551 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14.11.2023 № 817/пр.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Накладные расходы принять согласно Приказу Министерства строительства и ЖКХ Российской Федерации от 21.12.2020 № 812/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(в ред. Приказов Минстроя РФ от 02.09.2021 N 636/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, от 26.07.2022 N 611/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 для районов Крайнего Севера с учетом понижающего коэффициента 0,9 (п. 25, п.26 данного Приказа)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Сметную прибыль принять согласно Приказу Министерства строительства и ЖКХ Российской Федерации от 11.12.2020 № 774/ 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(в ред. Приказа Минстроя РФ от 22.04.2022 №317/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 с учетом понижающего коэффициента 0,85 (п. 16 данного приказа).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пересчета из базисного уровня цен 2001 года в текущий уровень цен применять индексы изменения сметной стоимости по элементам затрат по объектам строительства согласно приложения к письму Минстроя России для Красноярского края (3 зона) на дату направления сметной документации на государственную экспертизу.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Стоимость строительных материалов определять на основании сборников федеральных сметных цен на материалы, изделия и конструкции, применяемые в строительстве, внесенных в федеральный реестр сметных нормативов и утвержденных Приказом Минстроя России №876/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от 26.12.2019 г. (с изменениями и дополнениями).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Стоимость строительных материалов и оборудования, отсутствующих в сборниках федеральных сметных цен (ФССЦ), принять согласно п.13, п.14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Методики по наиболее экономичному варианту, определенному на основании прейскурантов, прайс-листов, коммерческих предложений не менее, чем от 3 (трех) производителей и (или) поставщиков (на основании конъюнктурного анализа) с приложением к сметной документации с учетом транспортных затрат от поставщика до объекта.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случае, когда предприятие обладает патентом, стоимость материала (изделия) принимается без сравнения стоимости, в данном случае патент предоставляется в составе документации.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локальные сметные расчеты включить: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1) Для учета в локальных сметных расчетах (сметах) усложняющих факторов условий производства работ, обоснованных в проектной и (или) иной технической документации, к сметным нормам применяются коэффициенты, предусмотренные пунктами 16 - 20 Методики (Приложение №10 Методики).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2) Учесть при отсутствии необходимых сметных норм (единичных расценок), включенных в сборники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ГЭСНр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(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ФЕРр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ТЕРр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), сметные затраты на работы по капитальному ремонту и реконструкции объектов капитального строительства 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с применением коэффициентов 1, 15 к затратам труда (оплате труда) рабочих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 1,25 нормам времени (стоимости) эксплуатации машин и механизмов, затратам труда (оплате труда) машинистов. (Методика п.58 (а, 6), 59 (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а-е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3) Учесть стоимость перевозки (вывоза) строительного мусора, лишнего грунта до полигона ТБО (расстояние от площадки производства работ до полигона ТБО предоставляет Заказчик)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сводно-сметный расчет включить: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1) Дополнительные затраты при производстве работ в зимнее время размер средств предусмотреть по нормативам Приказа Министерства строительства и жилищно-коммунального хозяйства РФ от 25 мая 2021 г. N 325/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"Об утверждении Методик и определения дополн.ителы-1ых затрат при производстве работ в зимнее время" Приложение 4 п. 27.1 Приложение 2 п.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1.2 Панельные жилые дома -3,86%х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,5=5,79%, согласно п.27.1 прил.4, п.1.1 прил.2 (жилые дома со стенами из кирпича -3,96%* 1,5=5,94%)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2) Затраты на строительство временных зданий и сооружений лимит средств предусмотреть по Приказа Минстроя России от 19.06.2020 N 332/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О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б утверждении Методики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 Приложение №2 п. 1.1 (объекты жилищного назначения -0,9%)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3) Резерв средств на непредвиденные работы и затраты принять согласно Методики п. 179 а -2 %.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4) Командировочные расходы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5) Расходы на перебазировку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В смете на разработку проектно-сметной документации применяется коэффициент 1,8 исключительно в случае, если подрядная организация зарегистрирована на территории районов Крайнего Севера (</w:t>
      </w:r>
      <w:r w:rsidR="00076E79">
        <w:rPr>
          <w:rFonts w:ascii="Times New Roman" w:eastAsia="Malgun Gothic" w:hAnsi="Times New Roman" w:cs="Times New Roman"/>
          <w:sz w:val="28"/>
          <w:szCs w:val="28"/>
          <w:lang w:eastAsia="ko-KR"/>
        </w:rPr>
        <w:t>г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 Норильск).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Применение коэффициента, подтверждается исполнителем работ его согласно МУ СБЦП п. 3.15.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3.3 Перечень Законодательных актов, технических и технологических регламентов (норм и правил) государственных стандартов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3.3.1 Нормативная документация, используемая при выполнении проектирования по ремонту несущих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конструкций стабилизации грунтов основания здания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Градостроительный кодекс РФ;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Федеральный закон РФ «Технический регламент о безопасности зданий и сооружений» от 30.12.20119 г. №384-ФЗ;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Следующие нормативы в актуальной редакции: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20.13330.2016«СНиП 2.01.07-85*Нагрузки и воздействия»;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22.13330.2016 «СНиП 2.02.01-83* Основания зданий и сооружений»;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24.13330.2021 «СНиП 2.02.03-85 Свайные фундаменты»;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25.13330.2020 «СНиП 2.02.04-85 Основания и фундаменты на вечномерзлых грунтах»;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28.13330.2017 «СНиП 2.03.11-85* Защита строительных конструкций от коррозии»;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131.13330.2025 «СНиП 23-01-99* «Строительная климатология»;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54.13330.2022 «СНиП 31-01-2003 Здания жилые многоквартирные»;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48.13330.2019 «СНиП 12-01-2004 Организация строительства»;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47.13330.2016 «Инженерные изыскания для строительства»;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116.13330.2012 «Инженерная защита территорий, зданий, сооружений от опасных геологических процессов»;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47.13330.2016 «Инженерные изыскания для строительства»;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493.1325800.2020 «Инженерные изыскания для строительства в районах распространения многолетнемерзлых грунтов. Общие требования»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446.1325800.2019 «Инженерно-геологические изыскания для строительства. Общие правила производства работ»;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СНиП 12-03-2001 «Безопасность труда в строительстве. Часть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 Общие требования»;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СНиП 12-03-2001 «Безопасность труда в строительстве Часть 2. Строительное производство»;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68.13330.2017 «СНиП 3.01.04-87 Правила приемки в эксплуатацию законченных строительством объектов»;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ГОСТ 27751-2014 «Надежность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строительных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конструкции. Основные положения»;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- ГОСТ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21.101-2020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«Система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проектной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документации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для строительства. Основные требования к проектной и рабочей документации;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МДС 13-1.99 «Инструкция о составе, порядке разработки, согласования и утверждения проектно-сметной документации на капитальный ремонт жилых зданий».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ВСН 61-89(р) «Реконструкция и капитальный ремонт жилых зданий. Нормы проектирования».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ВСН 58-88(р) «Положение об организации и проведения реконструкции, ремонта и технического обследования жилых домов, объектов коммунального хозяйства и социально-культурного назначения».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ВСН 41-85(р) «Инструкция по разработке проектов организации и проектов производства работ».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4.Количество передаваемой документации.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Проектную документацию, результаты инженерных изысканий выдать: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 3 экземплярах на бумажном носителе;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на 1 лазерном диске в электронном виде;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Сметную документацию выдать: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 3 экземплярах на бумажном носителе;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на 1 лазерном диске в электронном виде в программе «Гранд Смета (</w:t>
      </w:r>
      <w:r w:rsidRPr="006671D2">
        <w:rPr>
          <w:rFonts w:ascii="Times New Roman" w:eastAsia="Malgun Gothic" w:hAnsi="Times New Roman" w:cs="Times New Roman"/>
          <w:sz w:val="28"/>
          <w:szCs w:val="28"/>
          <w:lang w:val="en-US" w:eastAsia="ko-KR"/>
        </w:rPr>
        <w:t>XML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), </w:t>
      </w:r>
      <w:r w:rsidRPr="006671D2">
        <w:rPr>
          <w:rFonts w:ascii="Times New Roman" w:eastAsia="Malgun Gothic" w:hAnsi="Times New Roman" w:cs="Times New Roman"/>
          <w:sz w:val="28"/>
          <w:szCs w:val="28"/>
          <w:lang w:val="en-US" w:eastAsia="ko-KR"/>
        </w:rPr>
        <w:t>MS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val="en-US" w:eastAsia="ko-KR"/>
        </w:rPr>
        <w:t>Exel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5. Требования к Подрядной организации (исполнителя работ).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обеспечения качественного выполнения работ в условиях ММГ, необходимо обеспечить квалификацию кадрового состава:</w:t>
      </w:r>
    </w:p>
    <w:p w:rsidR="006671D2" w:rsidRPr="006671D2" w:rsidRDefault="006671D2" w:rsidP="006671D2">
      <w:pPr>
        <w:numPr>
          <w:ilvl w:val="0"/>
          <w:numId w:val="24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Наличие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инженерно-технического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персонала, отвечающего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за подготовку ПСД.</w:t>
      </w:r>
    </w:p>
    <w:p w:rsidR="006671D2" w:rsidRPr="006671D2" w:rsidRDefault="006671D2" w:rsidP="006671D2">
      <w:pPr>
        <w:numPr>
          <w:ilvl w:val="0"/>
          <w:numId w:val="24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Наличие программного обеспечения необходимого для разработки ПСД и проведения расчетов.</w:t>
      </w:r>
    </w:p>
    <w:p w:rsidR="006671D2" w:rsidRPr="006671D2" w:rsidRDefault="006671D2" w:rsidP="006671D2">
      <w:pPr>
        <w:numPr>
          <w:ilvl w:val="0"/>
          <w:numId w:val="24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Наличие допусков для выполнения проектных и изыскательских работ (членство в СРО).</w:t>
      </w:r>
    </w:p>
    <w:p w:rsidR="006671D2" w:rsidRPr="006671D2" w:rsidRDefault="006671D2" w:rsidP="006671D2">
      <w:pPr>
        <w:numPr>
          <w:ilvl w:val="0"/>
          <w:numId w:val="24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Опыт проведения обследований строительных конструкций и инженерных изысканий на территории Норильского промышленного района.</w:t>
      </w:r>
    </w:p>
    <w:p w:rsidR="006671D2" w:rsidRPr="006671D2" w:rsidRDefault="006671D2" w:rsidP="006671D2">
      <w:pPr>
        <w:spacing w:after="160" w:line="240" w:lineRule="auto"/>
        <w:ind w:left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59" w:lineRule="auto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br w:type="page"/>
      </w:r>
    </w:p>
    <w:p w:rsidR="006671D2" w:rsidRPr="006671D2" w:rsidRDefault="006671D2" w:rsidP="006671D2">
      <w:pPr>
        <w:spacing w:after="160" w:line="259" w:lineRule="auto"/>
        <w:jc w:val="right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Приложение 1</w:t>
      </w:r>
    </w:p>
    <w:p w:rsidR="006671D2" w:rsidRPr="006671D2" w:rsidRDefault="006671D2" w:rsidP="006671D2">
      <w:pPr>
        <w:spacing w:after="160" w:line="259" w:lineRule="auto"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Граница участка изысканий</w:t>
      </w:r>
    </w:p>
    <w:p w:rsidR="006671D2" w:rsidRPr="006671D2" w:rsidRDefault="006671D2" w:rsidP="006671D2">
      <w:pPr>
        <w:spacing w:after="160" w:line="259" w:lineRule="auto"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52131F" wp14:editId="77B460B5">
            <wp:extent cx="5487166" cy="6630325"/>
            <wp:effectExtent l="0" t="0" r="0" b="0"/>
            <wp:docPr id="1" name="Рисунок 1" descr="Изображение выглядит как карта,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60305" name="Рисунок 1" descr="Изображение выглядит как карта, текс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66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D2" w:rsidRPr="006671D2" w:rsidRDefault="006671D2" w:rsidP="006671D2">
      <w:pPr>
        <w:spacing w:after="160" w:line="259" w:lineRule="auto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             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215"/>
      </w:tblGrid>
      <w:tr w:rsidR="006671D2" w:rsidRPr="006671D2" w:rsidTr="002319B9">
        <w:tc>
          <w:tcPr>
            <w:tcW w:w="1271" w:type="dxa"/>
          </w:tcPr>
          <w:p w:rsidR="006671D2" w:rsidRPr="006671D2" w:rsidRDefault="006671D2" w:rsidP="006671D2">
            <w:pPr>
              <w:spacing w:after="160" w:line="259" w:lineRule="auto"/>
              <w:rPr>
                <w:sz w:val="28"/>
                <w:szCs w:val="28"/>
              </w:rPr>
            </w:pPr>
            <w:r w:rsidRPr="006671D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E2D7D0" wp14:editId="357E257F">
                  <wp:extent cx="715305" cy="284018"/>
                  <wp:effectExtent l="0" t="0" r="889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lumMod val="60000"/>
                                <a:lumOff val="40000"/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90" cy="305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5" w:type="dxa"/>
          </w:tcPr>
          <w:p w:rsidR="006671D2" w:rsidRPr="006671D2" w:rsidRDefault="006671D2" w:rsidP="006671D2">
            <w:pPr>
              <w:spacing w:after="160" w:line="259" w:lineRule="auto"/>
              <w:rPr>
                <w:sz w:val="28"/>
                <w:szCs w:val="28"/>
              </w:rPr>
            </w:pPr>
            <w:r w:rsidRPr="006671D2">
              <w:rPr>
                <w:sz w:val="28"/>
                <w:szCs w:val="28"/>
              </w:rPr>
              <w:t>- Граница изысканий</w:t>
            </w:r>
            <w:r w:rsidRPr="006671D2">
              <w:rPr>
                <w:sz w:val="28"/>
                <w:szCs w:val="28"/>
              </w:rPr>
              <w:tab/>
            </w:r>
          </w:p>
        </w:tc>
      </w:tr>
    </w:tbl>
    <w:p w:rsidR="0040537B" w:rsidRPr="0092549D" w:rsidRDefault="0040537B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Разработал:</w:t>
      </w:r>
    </w:p>
    <w:p w:rsidR="0040537B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Специалист </w:t>
      </w: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 / А.С. Ахметов /</w:t>
      </w:r>
    </w:p>
    <w:p w:rsidR="00B12DCF" w:rsidRPr="0040537B" w:rsidRDefault="0092549D" w:rsidP="0040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3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«___» __________ 2026 г.</w:t>
      </w:r>
    </w:p>
    <w:sectPr w:rsidR="00B12DCF" w:rsidRPr="0040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61A"/>
    <w:multiLevelType w:val="multilevel"/>
    <w:tmpl w:val="1E2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A11F5"/>
    <w:multiLevelType w:val="multilevel"/>
    <w:tmpl w:val="98381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11F0C2F"/>
    <w:multiLevelType w:val="multilevel"/>
    <w:tmpl w:val="484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E5AEB"/>
    <w:multiLevelType w:val="multilevel"/>
    <w:tmpl w:val="79C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B6C79"/>
    <w:multiLevelType w:val="multilevel"/>
    <w:tmpl w:val="D84C70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C0F53"/>
    <w:multiLevelType w:val="multilevel"/>
    <w:tmpl w:val="33B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05CCF"/>
    <w:multiLevelType w:val="multilevel"/>
    <w:tmpl w:val="594AC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704E8"/>
    <w:multiLevelType w:val="multilevel"/>
    <w:tmpl w:val="C66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5259C"/>
    <w:multiLevelType w:val="multilevel"/>
    <w:tmpl w:val="2D98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C7BF1"/>
    <w:multiLevelType w:val="multilevel"/>
    <w:tmpl w:val="8A207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56C43"/>
    <w:multiLevelType w:val="hybridMultilevel"/>
    <w:tmpl w:val="06F655E0"/>
    <w:lvl w:ilvl="0" w:tplc="BD3C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EA11A6"/>
    <w:multiLevelType w:val="multilevel"/>
    <w:tmpl w:val="70A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76712"/>
    <w:multiLevelType w:val="multilevel"/>
    <w:tmpl w:val="A46421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D7C31"/>
    <w:multiLevelType w:val="hybridMultilevel"/>
    <w:tmpl w:val="B17C99F8"/>
    <w:lvl w:ilvl="0" w:tplc="B0CE3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CE3F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460448"/>
    <w:multiLevelType w:val="multilevel"/>
    <w:tmpl w:val="BCD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290562"/>
    <w:multiLevelType w:val="multilevel"/>
    <w:tmpl w:val="7EBA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421128"/>
    <w:multiLevelType w:val="multilevel"/>
    <w:tmpl w:val="BE6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DC4C78"/>
    <w:multiLevelType w:val="multilevel"/>
    <w:tmpl w:val="BC5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C2CAC"/>
    <w:multiLevelType w:val="multilevel"/>
    <w:tmpl w:val="F87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9C7DB1"/>
    <w:multiLevelType w:val="multilevel"/>
    <w:tmpl w:val="ACA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B675DB"/>
    <w:multiLevelType w:val="multilevel"/>
    <w:tmpl w:val="238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6B2370"/>
    <w:multiLevelType w:val="multilevel"/>
    <w:tmpl w:val="76A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42792"/>
    <w:multiLevelType w:val="multilevel"/>
    <w:tmpl w:val="7F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3F003F"/>
    <w:multiLevelType w:val="multilevel"/>
    <w:tmpl w:val="3E047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9"/>
  </w:num>
  <w:num w:numId="5">
    <w:abstractNumId w:val="16"/>
  </w:num>
  <w:num w:numId="6">
    <w:abstractNumId w:val="5"/>
  </w:num>
  <w:num w:numId="7">
    <w:abstractNumId w:val="11"/>
  </w:num>
  <w:num w:numId="8">
    <w:abstractNumId w:val="17"/>
  </w:num>
  <w:num w:numId="9">
    <w:abstractNumId w:val="0"/>
  </w:num>
  <w:num w:numId="10">
    <w:abstractNumId w:val="21"/>
  </w:num>
  <w:num w:numId="11">
    <w:abstractNumId w:val="22"/>
  </w:num>
  <w:num w:numId="12">
    <w:abstractNumId w:val="20"/>
  </w:num>
  <w:num w:numId="13">
    <w:abstractNumId w:val="2"/>
  </w:num>
  <w:num w:numId="14">
    <w:abstractNumId w:val="14"/>
  </w:num>
  <w:num w:numId="15">
    <w:abstractNumId w:val="8"/>
  </w:num>
  <w:num w:numId="16">
    <w:abstractNumId w:val="12"/>
  </w:num>
  <w:num w:numId="17">
    <w:abstractNumId w:val="15"/>
  </w:num>
  <w:num w:numId="18">
    <w:abstractNumId w:val="9"/>
  </w:num>
  <w:num w:numId="19">
    <w:abstractNumId w:val="4"/>
  </w:num>
  <w:num w:numId="20">
    <w:abstractNumId w:val="6"/>
  </w:num>
  <w:num w:numId="21">
    <w:abstractNumId w:val="23"/>
  </w:num>
  <w:num w:numId="22">
    <w:abstractNumId w:val="13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60"/>
    <w:rsid w:val="00076E79"/>
    <w:rsid w:val="00167A7C"/>
    <w:rsid w:val="0040537B"/>
    <w:rsid w:val="00621408"/>
    <w:rsid w:val="006671D2"/>
    <w:rsid w:val="0068737D"/>
    <w:rsid w:val="006E1F3D"/>
    <w:rsid w:val="00707248"/>
    <w:rsid w:val="0092549D"/>
    <w:rsid w:val="00B12DCF"/>
    <w:rsid w:val="00D023AC"/>
    <w:rsid w:val="00DA679D"/>
    <w:rsid w:val="00EA78A8"/>
    <w:rsid w:val="00E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9</cp:revision>
  <dcterms:created xsi:type="dcterms:W3CDTF">2026-02-20T17:53:00Z</dcterms:created>
  <dcterms:modified xsi:type="dcterms:W3CDTF">2026-05-18T06:28:00Z</dcterms:modified>
</cp:coreProperties>
</file>