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№1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к конкурсной документации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left="538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left="538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УТВЕРЖДАЮ: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/>
        <w:t xml:space="preserve">Генеральный директор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/>
        <w:t xml:space="preserve">ООО «Заполярный жилищный трест»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/>
        <w:t xml:space="preserve">_________________ О.Б. Арапова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br/>
        <w:t xml:space="preserve">«___» __________ 2026 г.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left="538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на выполнение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мероприятий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термостабилизации грунтов под многоквартирным домом, расположенным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 по адресу: г. Норильск, Ленинский пр., д. 13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1. ОБЩИЕ СВЕДЕНИЯ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490"/>
        <w:gridCol w:w="7008"/>
      </w:tblGrid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1.1. Заказчик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Общество с ограниченной ответственностью «Заполярный жилищный трест» (ООО «Заполярный жилищный трест»)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1.2. Наименование объекта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Жилое здание, объект культурного наследия регионального значения «Ансамбль застройки центра, 1940–1960 гг.: дом жилой с магазинами», 1957 г.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1.3. Местоположение объекта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Красноярский край, г. Норильск, Центральный район, проспект Ленинский, дом 13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1.4. Основание для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Проектная документация, разработанная ООО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«ВОЗРОЖДЕНИЕ» и ООО «ГТС» (шифры: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ЗЖТ-17-2024-КР, ЗЖТ-17-2024-ПЗУ, ЗЖТ-17-2024-ТСГ, ЗЖТ-17-2024-ПГМ и др.),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3"/>
                <w:lang w:eastAsia="ru-RU"/>
              </w:rPr>
              <w:t xml:space="preserve">прошедшая необходимые согласования (в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3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3"/>
                <w:lang w:eastAsia="ru-RU"/>
              </w:rPr>
              <w:t xml:space="preserve">. с органом охраны объектов культурного наследия)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1.5. Вид градостроительной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Капитальный ремонт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1.6. Источник финансирования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убсидия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из бюджета муниципального образования город Норильск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предоставляемые в соответствии с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Постановлением Администрации города Норильска от 22.04.2022 № 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«Об утверждении Порядка предоставления субсидии на финансовое обеспечение затрат на реализацию мероприятия по термостабилизации грунтов под многоквартирными домами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(бурение температурных скважин, инженерные изыскания, разработка проектной документации, прохождение государственной экспертизы и реализация мероприятий по термостабилизации) муниципального образования город Норильск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1.7. Сроки выполнения работ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Начало: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с даты заключения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Окончание: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3"/>
                <w:lang w:eastAsia="ru-RU"/>
              </w:rPr>
              <w:t xml:space="preserve">(Промежуточные сроки – в соответствии с Графиком производства работ)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1.8. Начальная (максимальная) цена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231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262,6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сто девяносто восемь миллионов двести тридцать одна тысяча двести шестьдесят два рубля шестьдесят копеек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, в том числе НДС 22%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2490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1.9. Контактные лица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7008" w:type="dxa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По техническим вопросам: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Ахметов Александр Садыкович, специалист ООО «Заполярный жилищный трест», 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тел. 8-923-364-64-44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3"/>
                <w:lang w:eastAsia="ru-RU"/>
              </w:rPr>
              <w:t xml:space="preserve">о вопросам заключения договора: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Куфтанова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 Наталья Александровна, юрист по правовым вопросам, 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  <w:t xml:space="preserve">тел. +7 (3919) 46-73-71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2. ЦЕЛИ И ОСНОВНЫЕ ЗАДАЧИ ВЫПОЛНЕНИЯ РАБОТ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Основной целью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работ является восстановление проектно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го (I) принципа использования многолетнемерзлых грунтов в качестве основания здания, обеспечение его дальнейшей безопасной эксплуатации, нормативного температурно-влажностного режима вентилируемого подполья, а также сохранение объекта культурного наследия.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Основные задачи Подрядчика: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Выполнить комплекс строительно-монтажных работ в строгом соответствии с проектной документацией (шифры ЗЖТ-17-2024-КР, ЗЖТ-17-2024-ТСГ, ЗЖТ-17-2024-ПЗУ) и требованиями законодательства об объектах культурного наследия.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Обеспечить сохранность объекта культурного наследия при производстве работ.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Выполнить пусконаладочные работы систем температурной стабилизации грунтов (СОУ).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9"/>
        </w:numPr>
        <w:ind w:left="0"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Обустроить сеть геотехнического мониторинга (ГТМ) в соответствии с программой (ЗЖТ-17-2024-ПГМ) и передать ее Заказчику для последующей эксплуатации.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3. СОСТАВ И ОБЪЕМЫ ВЫПОЛНЯЕМЫХ РАБОТ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spacing w:after="0" w:line="45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3.1. Подготовительные работы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Уведомление службы охраны объектов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проведени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работ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культурно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наследи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Обустройство строительной площадки (бытовой городок, складские помещения, ограждения) с учетом стесненных условий.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Разработка и согласование с Заказчиком проекта производства работ (ППР) и технологических карт.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Очистка вентилируемого подполья от строительного и бытового мусора.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Демонтаж помещений (гаражей, складов), расположенных в объеме вентилируемого подполья, обладающих теплоотдачей, за исключением помещения ИТП.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3.2. Работы по обеспечению сохранности грунтов основания и ремонту конструкций подполья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ind w:left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Восстановление и устройство вентиляции: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Расчистка и восстановление проходимости существующих продухов (ПР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, ПР2).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Устройство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69 новых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вентиляционных проемов (воздуховодов) сечением 800x400 мм из стальных оцинкованных труб с креплением к стенам.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Обеспечение суммарной площади сечения вентиляционных элементов: 13,5 м² (оси 1-10) и 18,57 м² (оси 10-21).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left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Термоизоляция: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Утепление плиты перекрытия первого этажа со стороны вентилируемого подполья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минераловатными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плитами общей толщиной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230 мм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(плотность 120 кг/м³).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Утепление пола по грунту в помещении ИТП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пенополистиролом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толщиной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100 мм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Утепление стен помещения ИТП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минераловатными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плитами толщиной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230 мм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Установка в помещение ИТП стальной двери с приведенным сопротивлением теплопередаче не менее 0,8 м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²·°С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/Вт.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left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Ремонт железобетонных конструкций: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Ремонт поврежденных фундаментных столбов и балок (всего 13 балок в аварийном состоянии).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Инъецирование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трещин ремонтными составами.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Затирка сколов, раковин, восстановление защитного слоя бетона.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left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Устройство полов и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гидроотвода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Демонтаж существующего асфальтового покрытия пола в подполье.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Устройство щебеночной подготовки.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Устройство нового асфальтобетонного покрытия пола толщиной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50 мм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с восстановлением уклонов.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Замена водоотводного лотка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стальной из гнутого листового проката с антикоррозийной защитой.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Подключение лотка к системе канализации.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left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Наружные работы: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Устройство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асфальтобетонной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отмостки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по всему периметру здания (ориентировочная площадь 552 м²).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Восстановление асфальтобетонного покрытия придомовой территории, проездов и тротуаров (ориентировочная площадь 4281 м²).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pStyle w:val="674"/>
        <w:ind w:left="709"/>
        <w:jc w:val="both"/>
        <w:spacing w:after="0" w:line="450" w:lineRule="atLeast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3.3. Температурная стабилизация грунтов основания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Бурение скважин под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термостабилизаторы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в соответствии со схемой размещения: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 длиной подземной части 8 м (в осях Н-Е/1-8 и Н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'-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Ж'/11-21).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 длиной подземной части 9 м (в остальной части здания).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Установка, монтаж и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пусконаладка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гибких сезонно-действующих охлаждающих устройств (СОУ)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типа «НФ» (или аналог) в количестве согласно проекту.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Заполнение пазух скважин после установки СОУ.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Обеспечение беспрепятственного доступа воздуха к конденсаторным блокам СОУ.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pStyle w:val="674"/>
        <w:ind w:left="709"/>
        <w:jc w:val="both"/>
        <w:spacing w:after="0" w:line="450" w:lineRule="atLeast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3.4. Обустройство сети геотехнического мониторинга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Поставка и монтаж оборудования для проведения ГТМ, включая: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11 цифровых термометрических кос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(длиной 15 м, с 11 датчиками, погрешность ±0,1°С).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цифровых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 датчика уровня воды (пьезометра)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2 шкафа сбора данных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для автоматизированного сбора информации.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Установка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28 нивелировочных марок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на конструкции здания.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Проведение пусконаладочных работ системы мониторинга и передача ее Заказчику.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pStyle w:val="674"/>
        <w:numPr>
          <w:ilvl w:val="0"/>
          <w:numId w:val="9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ТРЕБОВАНИЯ К КАЧЕСТВУ, МАТЕРИАЛАМ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И ПРОИЗВОДСТВУ РАБОТ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left="36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color w:val="0f1115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f1115"/>
          <w:sz w:val="28"/>
          <w:szCs w:val="28"/>
          <w:lang w:eastAsia="ru-RU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Все работы должны выполняться в соответствии с проектной документацией, действующими строительными нормами и правилами (СП, СНиП, ГОСТ), Федеральным законом № 384-ФЗ.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Применяемые материалы и оборудование должны иметь сертификаты соответствия, технические паспорта и соответствовать спецификациям проекта: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4"/>
        </w:numPr>
        <w:ind w:left="0" w:firstLine="709"/>
        <w:jc w:val="both"/>
        <w:spacing w:after="0" w:line="240" w:lineRule="auto"/>
        <w:shd w:val="clear" w:color="auto" w:fill="ffffff"/>
        <w:tabs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Для стальных конструкций (воздуховоды, лотки) обязательно выполнение горячего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цинкования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(толщина покрытия не менее 45 мкм) и/или окрашивание составами «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Силор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-Ультра».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4"/>
        </w:numPr>
        <w:ind w:left="0" w:firstLine="709"/>
        <w:jc w:val="both"/>
        <w:spacing w:after="0" w:line="240" w:lineRule="auto"/>
        <w:shd w:val="clear" w:color="auto" w:fill="ffffff"/>
        <w:tabs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Ремонтные составы для бетона должны обладать высокой адгезией, безусадочностью, морозостойкостью не ниже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F300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и водонепроницаемостью не ниже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W16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4"/>
        </w:numPr>
        <w:ind w:left="0" w:firstLine="709"/>
        <w:jc w:val="both"/>
        <w:spacing w:after="0" w:line="240" w:lineRule="auto"/>
        <w:shd w:val="clear" w:color="auto" w:fill="ffffff"/>
        <w:tabs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Марка бетона по морозостойкости для новых конструкций – не ниже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F400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, по водонепроницаемости – не ниже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W10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Работы на объекте культурного наследия: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4"/>
        </w:numPr>
        <w:ind w:left="0" w:firstLine="709"/>
        <w:jc w:val="both"/>
        <w:spacing w:after="0" w:line="240" w:lineRule="auto"/>
        <w:shd w:val="clear" w:color="auto" w:fill="ffffff"/>
        <w:tabs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Обеспечить сохранность элементов здания, не подлежащих демонтажу или ремонту.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4"/>
        </w:numPr>
        <w:ind w:left="0" w:firstLine="709"/>
        <w:jc w:val="both"/>
        <w:spacing w:after="0" w:line="240" w:lineRule="auto"/>
        <w:shd w:val="clear" w:color="auto" w:fill="ffffff"/>
        <w:tabs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Немедленно информировать Заказчика и органы охраны памятников о любых непредвиденных находках (исторические элементы, кладки и т.д.) и останавливать работы в этой зоне.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Производство работ по устройству СОУ и бурению скважин рекомендуется выполнять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в зимний период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, чтобы минимизировать тепловое воздействие на мерзлые грунты.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shd w:val="clear" w:color="auto" w:fill="ffffff"/>
        <w:tabs>
          <w:tab w:val="clear" w:pos="720" w:leader="none"/>
          <w:tab w:val="num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Подрядчик несет полную ответственность за соблюдение правил техники безопасности, охраны труда и пожарной безопасности на объекте.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74"/>
        <w:numPr>
          <w:ilvl w:val="0"/>
          <w:numId w:val="14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ТРЕБОВАНИЯ К РЕЗУЛЬТАТУ РАБОТ И ОТЧЕТНОЙ ДОКУМЕНТАЦИИ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color w:val="0f1115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f1115"/>
          <w:sz w:val="28"/>
          <w:szCs w:val="28"/>
          <w:lang w:eastAsia="ru-RU"/>
        </w:rPr>
      </w:r>
    </w:p>
    <w:p>
      <w:pPr>
        <w:ind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 окончании работ Подрядчик передает Заказчику: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Объект в состоянии, полностью соответствующем проектной документации, пригодном для безопасной эксплуатации.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Акт приемки выполненных работ (по форме КС-2, КС-3).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Исполнительную документацию: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Акты на скрытые работы.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Исполнительные геодезические схемы.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Паспорта и сертификаты на все примененные материалы и оборудование.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Акты освидетельствования ответственных конструкций.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Документацию на систему ГТМ: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Паспорта на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термокосы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, датчики уровня, шкафы сбора данных.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Схемы расположения датчиков и нивелировочных марок.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Свидетельства о поверке измерительного оборудования.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Инструкцию по эксплуатации системы ГТМ.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5"/>
        </w:numPr>
        <w:ind w:left="0" w:firstLine="709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Акт ввода в эксплуатацию системы температурной стабилизации грунтов (СОУ).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74"/>
        <w:numPr>
          <w:ilvl w:val="0"/>
          <w:numId w:val="15"/>
        </w:num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ГАРАНТИЙНЫЕ ОБЯЗАТЕЛЬСТВА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00"/>
        <w:gridCol w:w="5103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440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Объект гарантии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Срок гарантии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440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Строительно-монтажные работы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 (все конструктивные элементы: вентиляция, термоизоляция, полы,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отмостка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, ремонт фундаментов)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5 (пять) лет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с даты подписания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итогового акта приемки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4400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Оборудование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 (СОУ,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термокосы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, датчики, шкафы сбора данных)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5103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Согласно паспорту завода-изготовителя, но не менее </w:t>
            </w: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  <w:lang w:eastAsia="ru-RU"/>
              </w:rPr>
              <w:t xml:space="preserve">2 (двух) лет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Гарантийные обязательства Подрядчика: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6"/>
        </w:numPr>
        <w:ind w:left="0"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Гарантия распространяется на все дефекты, возникшие по вине Подрядчика.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6"/>
        </w:numPr>
        <w:ind w:left="0"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Устранение дефектов производится Подрядчиком за свой счет в срок не более 10 (десяти) рабочих дней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 даты получения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письменного уведомления от Заказчика.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ind w:firstLine="709"/>
        <w:jc w:val="both"/>
        <w:spacing w:after="0" w:line="450" w:lineRule="atLeast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7.1. Условия финансирования и оплаты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Источник финансирования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субсидия из бюджета муниципального образования город Норильск в соответствии с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Постановлением Администрации города Норильска от 22.04.2022 № 235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Целевое назначение субсидии: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финансовое обеспечение затрат на реализацию меропри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ятий по термостабилизации грунтов, включая бурение температурных скважин, инженерные изыскания, разработку проектной документации, прохождение государственной экспертизы и реализацию мероприятий по термостабилизации (монтаж СОУ, геотехнический мониторинг).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Порядок оплаты: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Оплата выполненных работ производится Заказчиком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после фактического поступления целевых субсидий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на его расчетный счет.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Срок оплаты –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не более 5 (пяти) банковских дней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 даты зачисления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субсидии.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Заказчик не несет ответственности за просрочку оплаты, вызванную несвоевременным поступлением субсидий из бюджета (п. 3.2 Постановления № 235).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Авансирование: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1"/>
          <w:numId w:val="17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Аванс может быть предусмотрен в договоре подряда в размере, не превышающем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30%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от размера субсидии, при соблюдении условий, установленных п. 2.8 Постановления № 235 (предоставление копий договоров, положительных заключений экспертизы, счета на авансирование).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450" w:lineRule="atLeast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7.2. Специфика объекта культурного наследия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numPr>
          <w:ilvl w:val="0"/>
          <w:numId w:val="18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Подрядчик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обязан иметь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лицензию Министерства культуры РФ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на осуществление деятельности по сохранению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объектов культурного наследия, однако до начала работ обязан письменно уведомить службу охраны объектов.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18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Все работы производить с соблюдением требований Федерального закона №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73-ФЗ «Об объектах культурного наследия...».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450" w:lineRule="atLeast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7.3. Требования к персоналу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Наличие в штате не менее 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2 (двух) специалистов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с высшим образованием в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строительстве и опытом работы от 5 лет, включенных в Национальный реестр специалистов в области инженерных изысканий и архитектурно-строительного проектирования.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ind w:firstLine="709"/>
        <w:jc w:val="both"/>
        <w:spacing w:after="0" w:line="450" w:lineRule="atLeast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7.4. Прочие условия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Все стальные воздуховоды и водоотводные лотки должны иметь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горячее </w:t>
      </w: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цинкование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(толщина покрытия не менее 45 мкм).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Работы по бурению скважин и монтажу СОУ выполнять в зимний период для минимизации теплового воздействия на мерзлые грунты.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Утилизация строительного мусора – за счет Подрядчика, с предоставлением подтверждающих документов (договор с полигоном, талоны).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480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  <w:t xml:space="preserve">Приложение к ТЗ – Ведомость основных объемов работ (выборочно)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17"/>
        <w:gridCol w:w="5434"/>
        <w:gridCol w:w="1044"/>
        <w:gridCol w:w="2652"/>
      </w:tblGrid>
      <w:tr>
        <w:tblPrEx/>
        <w:trPr>
          <w:tblHeader/>
        </w:trPr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Наименование работ/элемента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Устройство новых вентиляционных проемов (воздуховодов)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Утепление перекрытия первого этажа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минплитой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 230 мм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в соответствии с проектом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Ремонт фундаментных балок (аварийных)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Устройство асфальтобетонного пола в подполье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в соответствии с проектом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Устройство отмостки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552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Восстановление асфальтобетонного покрытия территории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4281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Бурение скважин под СОУ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в соответствии с проектом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Монтаж термометрических кос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Монтаж датчиков уровня воды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Монтаж шкафов сбора данных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Mar>
              <w:left w:w="0" w:type="dxa"/>
              <w:top w:w="150" w:type="dxa"/>
              <w:right w:w="240" w:type="dxa"/>
              <w:bottom w:w="150" w:type="dxa"/>
            </w:tcMar>
            <w:tcW w:w="617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Установка нивелировочных марок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240" w:type="dxa"/>
              <w:bottom w:w="15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  <w:tc>
          <w:tcPr>
            <w:tcMar>
              <w:left w:w="240" w:type="dxa"/>
              <w:top w:w="150" w:type="dxa"/>
              <w:right w:w="0" w:type="dxa"/>
              <w:bottom w:w="1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47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4"/>
          <w:szCs w:val="24"/>
          <w:lang w:eastAsia="ru-RU"/>
        </w:rPr>
        <w:t xml:space="preserve">Разработал: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Специалист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ООО «Заполярный жилищный трест»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_____________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  <w:t xml:space="preserve">_____ / А.С. Ахметов /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f1115"/>
          <w:sz w:val="24"/>
          <w:szCs w:val="24"/>
          <w:lang w:eastAsia="ru-RU"/>
        </w:rPr>
        <w:t xml:space="preserve">«___» __________ 2026 г.</w:t>
      </w:r>
      <w:r>
        <w:rPr>
          <w:rFonts w:ascii="Times New Roman" w:hAnsi="Times New Roman" w:eastAsia="Times New Roman" w:cs="Times New Roman"/>
          <w:color w:val="0f1115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7"/>
  </w:num>
  <w:num w:numId="5">
    <w:abstractNumId w:val="14"/>
  </w:num>
  <w:num w:numId="6">
    <w:abstractNumId w:val="4"/>
  </w:num>
  <w:num w:numId="7">
    <w:abstractNumId w:val="9"/>
  </w:num>
  <w:num w:numId="8">
    <w:abstractNumId w:val="15"/>
  </w:num>
  <w:num w:numId="9">
    <w:abstractNumId w:val="0"/>
  </w:num>
  <w:num w:numId="10">
    <w:abstractNumId w:val="19"/>
  </w:num>
  <w:num w:numId="11">
    <w:abstractNumId w:val="20"/>
  </w:num>
  <w:num w:numId="12">
    <w:abstractNumId w:val="18"/>
  </w:num>
  <w:num w:numId="13">
    <w:abstractNumId w:val="1"/>
  </w:num>
  <w:num w:numId="14">
    <w:abstractNumId w:val="12"/>
  </w:num>
  <w:num w:numId="15">
    <w:abstractNumId w:val="7"/>
  </w:num>
  <w:num w:numId="16">
    <w:abstractNumId w:val="10"/>
  </w:num>
  <w:num w:numId="17">
    <w:abstractNumId w:val="13"/>
  </w:num>
  <w:num w:numId="18">
    <w:abstractNumId w:val="8"/>
  </w:num>
  <w:num w:numId="19">
    <w:abstractNumId w:val="3"/>
  </w:num>
  <w:num w:numId="20">
    <w:abstractNumId w:val="5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6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6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6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1"/>
    <w:next w:val="66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1"/>
    <w:next w:val="66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1"/>
    <w:next w:val="66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1"/>
    <w:next w:val="66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1"/>
    <w:next w:val="66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1"/>
    <w:next w:val="66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1"/>
    <w:next w:val="66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5"/>
    <w:link w:val="34"/>
    <w:uiPriority w:val="10"/>
    <w:rPr>
      <w:sz w:val="48"/>
      <w:szCs w:val="48"/>
    </w:rPr>
  </w:style>
  <w:style w:type="paragraph" w:styleId="36">
    <w:name w:val="Subtitle"/>
    <w:basedOn w:val="661"/>
    <w:next w:val="66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5"/>
    <w:link w:val="36"/>
    <w:uiPriority w:val="11"/>
    <w:rPr>
      <w:sz w:val="24"/>
      <w:szCs w:val="24"/>
    </w:rPr>
  </w:style>
  <w:style w:type="paragraph" w:styleId="38">
    <w:name w:val="Quote"/>
    <w:basedOn w:val="661"/>
    <w:next w:val="66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1"/>
    <w:next w:val="66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5"/>
    <w:link w:val="42"/>
    <w:uiPriority w:val="99"/>
  </w:style>
  <w:style w:type="paragraph" w:styleId="44">
    <w:name w:val="Footer"/>
    <w:basedOn w:val="66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5"/>
    <w:link w:val="44"/>
    <w:uiPriority w:val="99"/>
  </w:style>
  <w:style w:type="paragraph" w:styleId="46">
    <w:name w:val="Caption"/>
    <w:basedOn w:val="661"/>
    <w:next w:val="66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5"/>
    <w:uiPriority w:val="99"/>
    <w:unhideWhenUsed/>
    <w:rPr>
      <w:vertAlign w:val="superscript"/>
    </w:rPr>
  </w:style>
  <w:style w:type="paragraph" w:styleId="178">
    <w:name w:val="endnote text"/>
    <w:basedOn w:val="66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5"/>
    <w:uiPriority w:val="99"/>
    <w:semiHidden/>
    <w:unhideWhenUsed/>
    <w:rPr>
      <w:vertAlign w:val="superscript"/>
    </w:rPr>
  </w:style>
  <w:style w:type="paragraph" w:styleId="18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</w:style>
  <w:style w:type="paragraph" w:styleId="662">
    <w:name w:val="Heading 1"/>
    <w:basedOn w:val="661"/>
    <w:link w:val="66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63">
    <w:name w:val="Heading 2"/>
    <w:basedOn w:val="661"/>
    <w:link w:val="66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64">
    <w:name w:val="Heading 3"/>
    <w:basedOn w:val="661"/>
    <w:link w:val="67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6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69" w:customStyle="1">
    <w:name w:val="Заголовок 2 Знак"/>
    <w:basedOn w:val="665"/>
    <w:link w:val="66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70" w:customStyle="1">
    <w:name w:val="Заголовок 3 Знак"/>
    <w:basedOn w:val="665"/>
    <w:link w:val="66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71" w:customStyle="1">
    <w:name w:val="ds-markdown-paragraph"/>
    <w:basedOn w:val="6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2">
    <w:name w:val="Strong"/>
    <w:basedOn w:val="665"/>
    <w:uiPriority w:val="22"/>
    <w:qFormat/>
    <w:rPr>
      <w:b/>
      <w:bCs/>
    </w:rPr>
  </w:style>
  <w:style w:type="character" w:styleId="673">
    <w:name w:val="Emphasis"/>
    <w:basedOn w:val="665"/>
    <w:uiPriority w:val="20"/>
    <w:qFormat/>
    <w:rPr>
      <w:i/>
      <w:iCs/>
    </w:rPr>
  </w:style>
  <w:style w:type="paragraph" w:styleId="674">
    <w:name w:val="List Paragraph"/>
    <w:basedOn w:val="66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Аноним</cp:lastModifiedBy>
  <cp:revision>8</cp:revision>
  <dcterms:created xsi:type="dcterms:W3CDTF">2026-02-20T17:53:00Z</dcterms:created>
  <dcterms:modified xsi:type="dcterms:W3CDTF">2026-03-20T03:02:36Z</dcterms:modified>
</cp:coreProperties>
</file>