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9D" w:rsidRPr="0092549D" w:rsidRDefault="0092549D" w:rsidP="009254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№1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 конкурсной документации</w:t>
      </w:r>
    </w:p>
    <w:p w:rsid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УТВЕРЖДАЮ: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Генеральный директор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ООО «Заполярный жилищный трест»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 О.Б. Арапова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«___» __________ 2026 г.</w:t>
      </w:r>
    </w:p>
    <w:p w:rsidR="0092549D" w:rsidRP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2549D" w:rsidRP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1D2" w:rsidRPr="006671D2" w:rsidRDefault="006671D2" w:rsidP="006671D2">
      <w:pPr>
        <w:spacing w:after="160" w:line="259" w:lineRule="auto"/>
        <w:jc w:val="center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 xml:space="preserve">ТЕХНИЧЕСКОЕ ЗАДАНИЕ  </w:t>
      </w:r>
    </w:p>
    <w:p w:rsidR="006671D2" w:rsidRPr="006671D2" w:rsidRDefault="006671D2" w:rsidP="006671D2">
      <w:pPr>
        <w:spacing w:after="160" w:line="240" w:lineRule="auto"/>
        <w:jc w:val="center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Жилое здание, по адресу: Красноярский край, г. Норильск, Центральный район проспект Ленинский, дом 5 являющегося объектом культурного наследия регионального значения «Ансамбль застройки центра», </w:t>
      </w:r>
      <w:r>
        <w:rPr>
          <w:rFonts w:ascii="Times New Roman" w:eastAsia="Malgun Gothic" w:hAnsi="Times New Roman" w:cs="Times New Roman"/>
          <w:sz w:val="28"/>
          <w:szCs w:val="28"/>
          <w:lang w:eastAsia="ko-KR"/>
        </w:rPr>
        <w:br/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1940-1960</w:t>
      </w:r>
      <w:r>
        <w:rPr>
          <w:rFonts w:ascii="Times New Roman" w:eastAsia="Malgun Gothic" w:hAnsi="Times New Roman" w:cs="Times New Roman"/>
          <w:sz w:val="28"/>
          <w:szCs w:val="28"/>
          <w:lang w:eastAsia="ko-KR"/>
        </w:rPr>
        <w:t> </w:t>
      </w:r>
      <w:proofErr w:type="spellStart"/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гг</w:t>
      </w:r>
      <w:proofErr w:type="spellEnd"/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: «Дом жилой с  центральным универмагом на Гвардейской площади», 1951</w:t>
      </w:r>
      <w:r>
        <w:rPr>
          <w:rFonts w:ascii="Times New Roman" w:eastAsia="Malgun Gothic" w:hAnsi="Times New Roman" w:cs="Times New Roman"/>
          <w:sz w:val="28"/>
          <w:szCs w:val="28"/>
          <w:lang w:eastAsia="ko-KR"/>
        </w:rPr>
        <w:t> 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г., (г. Норильск пр. Ленинский,5)</w:t>
      </w:r>
    </w:p>
    <w:p w:rsidR="006671D2" w:rsidRPr="006671D2" w:rsidRDefault="006671D2" w:rsidP="006671D2">
      <w:pPr>
        <w:spacing w:after="160" w:line="240" w:lineRule="auto"/>
        <w:jc w:val="center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numPr>
          <w:ilvl w:val="0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Общая часть.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Заказчик - Общество с ограниченной ответственностью «Заполярный жилищный трест» - Управляющая организация, осуществляющая управление многоквартирным домом.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Исполнитель - </w:t>
      </w:r>
      <w:r w:rsidRPr="006671D2">
        <w:rPr>
          <w:rFonts w:ascii="Times New Roman" w:eastAsia="Malgun Gothic" w:hAnsi="Times New Roman" w:cs="Times New Roman"/>
          <w:sz w:val="28"/>
          <w:szCs w:val="28"/>
          <w:highlight w:val="yellow"/>
          <w:lang w:eastAsia="ko-KR"/>
        </w:rPr>
        <w:t>Общество с ограниченной ответственностью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«</w:t>
      </w:r>
      <w:r w:rsidR="00167A7C" w:rsidRPr="00167A7C">
        <w:rPr>
          <w:rFonts w:ascii="Times New Roman" w:eastAsia="Malgun Gothic" w:hAnsi="Times New Roman" w:cs="Times New Roman"/>
          <w:sz w:val="28"/>
          <w:szCs w:val="28"/>
          <w:highlight w:val="yellow"/>
          <w:lang w:eastAsia="ko-KR"/>
        </w:rPr>
        <w:t>ПОБЕДИТЕЛЬ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»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Вид работ – </w:t>
      </w:r>
      <w:r w:rsidR="00167A7C">
        <w:rPr>
          <w:rFonts w:ascii="Times New Roman" w:eastAsia="Malgun Gothic" w:hAnsi="Times New Roman" w:cs="Times New Roman"/>
          <w:sz w:val="28"/>
          <w:szCs w:val="28"/>
          <w:lang w:eastAsia="ko-KR"/>
        </w:rPr>
        <w:t>сохранение объекта культурного наследия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 рамках утвержденной муниципальной программы постановлением Администрации г. Норильска Красноярского края от 7 декабря 2016 г. N 585 «Реформирования и модернизации жилищно-коммунального хозяйства и повышения энергетической эффективности». Подпрограмма 4 «Организация проведения ремонтов многоквартирных домов». Мероприятия «сохранения устойчивости зданий жилищного фонда».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Место нахождения объекта: Красноярский край, г. Норильск, пр. Ленинский, д. 5.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Характеристики объекта</w:t>
      </w:r>
      <w:r w:rsidR="00DA679D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культурного наследия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Год ввода в эксплуатацию - 1951;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Количество этажей – 5;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Капитальные несущие стены – кирпичные.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Идентификационные признаки объекта: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1.7.1 Назначение - многоквартирный жилой дом, код ОКС 01.02.001.003 в соответствии с Приказом Минстроя России от 02.11.2022 № 928/</w:t>
      </w:r>
      <w:proofErr w:type="spellStart"/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строительства)»;</w:t>
      </w:r>
    </w:p>
    <w:p w:rsidR="006671D2" w:rsidRPr="006671D2" w:rsidRDefault="006671D2" w:rsidP="006671D2">
      <w:pPr>
        <w:tabs>
          <w:tab w:val="left" w:pos="0"/>
        </w:tabs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1.7.2. Принадлежность к объектам транспортной инфраструктуры - не принадлежит;</w:t>
      </w:r>
    </w:p>
    <w:p w:rsidR="006671D2" w:rsidRPr="006671D2" w:rsidRDefault="006671D2" w:rsidP="006671D2">
      <w:pPr>
        <w:tabs>
          <w:tab w:val="left" w:pos="0"/>
        </w:tabs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1.7.3.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 - территория распространения многолетнемерзлых грунтов;</w:t>
      </w:r>
    </w:p>
    <w:p w:rsidR="006671D2" w:rsidRPr="006671D2" w:rsidRDefault="006671D2" w:rsidP="006671D2">
      <w:pPr>
        <w:tabs>
          <w:tab w:val="left" w:pos="0"/>
        </w:tabs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1.7.4 Принадлежность к опасным производственным объектам - не принадлежит;</w:t>
      </w:r>
    </w:p>
    <w:p w:rsidR="006671D2" w:rsidRPr="006671D2" w:rsidRDefault="006671D2" w:rsidP="006671D2">
      <w:pPr>
        <w:tabs>
          <w:tab w:val="left" w:pos="0"/>
        </w:tabs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1.7.5 Категория здания по пожарной и взрывопожарной опасности – Д (пониженная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пожароопасность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);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1.7.6. Наличие помещений с постоянным пребыванием людей - есть;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1.7.7. Уровень ответственности - 2 - нормальный уровень ответственности.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1.7.8 Сведения об объекте: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Габариты здания: 115.7х37.3 м;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Количество этажей – 5;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Этажность – 5;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Конструктивная схема здания: Бескаркасная система с наружными и внутренними несущими стенами;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Фундамент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ы-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бетонные столбы, глубиной заложения 4-8 м.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Предполагаемая нагрузка на фундаменты: 208 т.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Абсолютные отметки фундамента (отметка низа заложения фундамента) – переменная, в зависимости от рельефа местности от 72 до 74,5.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Глубина зоны механического и теплового взаимодействия зданий и сооружений с геологической средой - 4 м от подошвы фундамента.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Здание построено по принципу 1, с сохранением грунтового основания в мёрзлом состоянии СП 25.13330.2020 «СНиП 2.02.04-88 Основания и фундаменты на вечномёрзлых грунтах».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Окружающие здания построены по принципу 1,</w:t>
      </w:r>
      <w:r w:rsidRPr="006671D2">
        <w:rPr>
          <w:rFonts w:ascii="Times New Roman" w:eastAsia="Malgun Gothic" w:hAnsi="Times New Roman" w:cs="Times New Roman"/>
          <w:lang w:eastAsia="ko-KR"/>
        </w:rPr>
        <w:t xml:space="preserve"> 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 сохранением грунтового основания в мёрзлом состоянии СП 25.13330.2020 «СНиП 2.02.04-88 Основания и фундаменты на вечномёрзлых грунтах».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Calibri" w:eastAsia="Malgun Gothic" w:hAnsi="Calibri" w:cs="Times New Roman"/>
          <w:lang w:eastAsia="ko-KR"/>
        </w:rPr>
        <w:t xml:space="preserve">- 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Температуру теплоносителей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водонесущих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тепловыделяющих систем проходящих в вентилируемом подполье принять следующими: 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Для системы отопления 80 °C (подача) / 70 °C (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обратка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);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Для системы горячего водоснабжения 65 °C (подача) / 60 °C (циркуляция);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Для системы водоотведения (канализация) 20 °C.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Конструктивные характеристики здания принять следующими: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Плита перекрытия 1-го этажа – железобетонная монолитная плита толщиной 100 мм.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Плиты перекрытия 2-го, 3-го, 4-го, 5-го этажей, чердачное перекрытие – железобетонные монолитные плиты толщиной 200 мм.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Стены – кирпичные, толщиной 640 мм, 420 мм и 380 мм, оштукатуренные, штукатурный слой принять по 20 мм с каждой стороны.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Состав полов принять следующими: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Состав пола 1-го этажа: Бой кирпича 50 мм, пенобетон 70 мм, стяжка 50 мм.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Состав пола 2-го, 3-го, 4-го, 5-го этажей: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Досчатое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покрытие 50 мм.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Состав пола чердачного перекрытия: Бой кирпича 50 мм, пенобетон 70 мм, стяжка 50 мм.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Вес кровли на 1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п.м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. принять по нормативной нагрузке: Брус – 0,144 т/м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vertAlign w:val="superscript"/>
          <w:lang w:eastAsia="ko-KR"/>
        </w:rPr>
        <w:t>2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, Металл 5 мм – 0,31 т/м</w:t>
      </w:r>
      <w:r w:rsidRPr="006671D2">
        <w:rPr>
          <w:rFonts w:ascii="Times New Roman" w:eastAsia="Malgun Gothic" w:hAnsi="Times New Roman" w:cs="Times New Roman"/>
          <w:sz w:val="28"/>
          <w:szCs w:val="28"/>
          <w:vertAlign w:val="superscript"/>
          <w:lang w:eastAsia="ko-KR"/>
        </w:rPr>
        <w:t>2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. 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Плотность материалов принять следующими: Бой кирпича 1,8 т/м</w:t>
      </w:r>
      <w:r w:rsidRPr="006671D2">
        <w:rPr>
          <w:rFonts w:ascii="Times New Roman" w:eastAsia="Malgun Gothic" w:hAnsi="Times New Roman" w:cs="Times New Roman"/>
          <w:sz w:val="28"/>
          <w:szCs w:val="28"/>
          <w:vertAlign w:val="superscript"/>
          <w:lang w:eastAsia="ko-KR"/>
        </w:rPr>
        <w:t>3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, пенобетон 1,2 т/м</w:t>
      </w:r>
      <w:r w:rsidRPr="006671D2">
        <w:rPr>
          <w:rFonts w:ascii="Times New Roman" w:eastAsia="Malgun Gothic" w:hAnsi="Times New Roman" w:cs="Times New Roman"/>
          <w:sz w:val="28"/>
          <w:szCs w:val="28"/>
          <w:vertAlign w:val="superscript"/>
          <w:lang w:eastAsia="ko-KR"/>
        </w:rPr>
        <w:t>3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, стяжка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ц.п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. 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/сух. 1,8 т/м</w:t>
      </w:r>
      <w:r w:rsidRPr="006671D2">
        <w:rPr>
          <w:rFonts w:ascii="Times New Roman" w:eastAsia="Malgun Gothic" w:hAnsi="Times New Roman" w:cs="Times New Roman"/>
          <w:sz w:val="28"/>
          <w:szCs w:val="28"/>
          <w:vertAlign w:val="superscript"/>
          <w:lang w:eastAsia="ko-KR"/>
        </w:rPr>
        <w:t>3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Арматуру во всех железобетонных конструкциях принять классом А400.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Здания Окружающая застройка 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Источник финансирования – местный бюджет.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Главный распорядитель средств субсидий (Инвестор) – Муниципальное казённое учреждение «Управление жилищно-коммунального хозяйства».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Стадийность разработки документации – инженерные изыскания, проектная, сметная документация.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Срок выполнения работ с момента заключения договора до 3</w:t>
      </w:r>
      <w:r w:rsidR="00DA679D">
        <w:rPr>
          <w:rFonts w:ascii="Times New Roman" w:eastAsia="Malgun Gothic" w:hAnsi="Times New Roman" w:cs="Times New Roman"/>
          <w:sz w:val="28"/>
          <w:szCs w:val="28"/>
          <w:lang w:eastAsia="ko-KR"/>
        </w:rPr>
        <w:t>0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.11.2026 г.</w:t>
      </w: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Гарантийный срок качества выполненных работ – 60 (шестьдесят) месяцев со дня, следующего за днем 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подписания акта приемки объекта капитального строительства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.</w:t>
      </w:r>
    </w:p>
    <w:p w:rsidR="006671D2" w:rsidRPr="006671D2" w:rsidRDefault="006671D2" w:rsidP="006671D2">
      <w:pPr>
        <w:spacing w:after="160" w:line="240" w:lineRule="auto"/>
        <w:ind w:left="709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numPr>
          <w:ilvl w:val="0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Выполнение работ предусматривает следующее: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 xml:space="preserve">2.1 Обследование технического состояния здания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Цель обследования: Оценка фактического технического состояния строительных конструкций здания в границах проведения работ по прочностным и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деформативным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показателям для разработки проекта капитального ремонта нулевого цикла МКД и при необходимости разработки проекта термостабилизации основания.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Разработка и согласование программы обследования;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Ознакомление с объектом обследования;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Изучение проектной, рабочей и исполнительной (и прочей) документации: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Результаты геотехнического мониторинга;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Архивные материалы, содержащие информацию о проектной и исполнительной документации;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Работы по предварительному (визуальному) обследованию;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Детальный осмотр конструкций ниже отметки 0,000: фундамент, фундаментные балки, перекрытия над вентилируемым подпольем, 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 xml:space="preserve">ограждающие конструкции вентилируемого подполья, покрытие и лотки подполья, в том числе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водонесущих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инженерных коммуникаций;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Определение конструктивной схемы в границах проведения работ;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Составление ведомостей (карт) дефектов и повреждений обследуемых конструкций в границах проведения работ с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фотофиксацией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; 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Определение аварийных участков (при наличии);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Детальное (инструментальное) обследование строительных конструкций ниже отметки 0,000: фундамент, фундаментные балки, перекрытие над вентилируемым подпольем, ограждающие конструкции вентилируемого подполья, покрытие и лотки технического подполья, а также грунты основания и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водонесущие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инженерные коммуникации.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Измерение необходимых для выполнения целей обследования геометрических параметров здания, конструкций с составлением планов и характерных разрезов в границах проведения работ;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Выполнение инструментального определения параметров дефектов и повреждений строительных конструкций;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При обнаружении аварийных участков выполнить сплошное исследование аварийных конструкций (при необходимости);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Определение прочности бетона в бетонных и железобетонных конструкциях механическими приборами, определение защитного слоя бетона и диаметра арматуры неразрушающим магнитным методом;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Определение параметров эксплуатационной среды вентилируемого подолья;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Определение эксплуатационных нагрузок и воздействий, воспринимаемых обследуемыми конструкциями с учетом влияния деформаций несущих конструкций и грунтов основания;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Определение расчетной схемы здания и отдельных обследуемых конструкций;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Выполнение поверочных расчетов с учетом фактических эксплуатационных нагрузок по результатам обследования фундаментов, фундаментных балок с определением расчетных усилий в несущих конструкциях; поверочный расчет основания фундаментов;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59" w:lineRule="auto"/>
        <w:ind w:left="0"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Анализ причин появления дефектов (повреждений) в конструкциях;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Составление уточненной ведомости дефектов с рекомендациями по их устранению;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Выполнение графической документации (схем, чертежей,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фотофиксаций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);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Камеральная обработка результатов и составление Заключения с выводами по результатам обследования;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Определение и обоснование категории технического состояния конструкций в границах проведения работ;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Инженерно-геодезические изыскания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Составление программы инженерных изысканий;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Полевые работы: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Создание инженерно-топографического плана по застроенной территории, масштаб съемки 1:500, высота сечения рельефа 0,5 м, 3 категория сложности – полевые работы;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Создание инженерно-топографического плана по застроенной территории, масштаб съемки 1:500, высота сечения рельефа 0,5 м, 3 категория сложности – камеральные работы;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Составление технического отчета.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numPr>
          <w:ilvl w:val="1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Инженерно-геологические изыскания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Составление программы инженерных изысканий.</w:t>
      </w:r>
    </w:p>
    <w:p w:rsidR="006671D2" w:rsidRPr="006671D2" w:rsidRDefault="006671D2" w:rsidP="006671D2">
      <w:pPr>
        <w:numPr>
          <w:ilvl w:val="2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Полевые работы:</w:t>
      </w:r>
    </w:p>
    <w:p w:rsidR="006671D2" w:rsidRPr="006671D2" w:rsidRDefault="006671D2" w:rsidP="006671D2">
      <w:pPr>
        <w:numPr>
          <w:ilvl w:val="3"/>
          <w:numId w:val="23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Колонковое бурение скважин диаметром до 90 мм. Расположение и количество скважин, их глубину принять согласно п. 6.2.2.6, п. 6.2.2.7 СП 493.1325800.2020.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2.3.2.2 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Стационарное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наблюдения в скважинах за температурой пород.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2.3.2.3 Проведение полевых испытаний грунтов не требуется.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2.3.2.4 Обследование состояния грунтов оснований здания (проходка шурфов) не требуется.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2.3.3 Лабораторные работы: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2.3.3.1 Полный комплекс определений физико-механических свой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ств гр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унтов с получением следующих лабораторных показателей: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2.3.3.1.1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Д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ля талых глинистых и песчаных грунтов: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природная влажность;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природная плотность грунта;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плотность частиц грунта;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влажность на границе текучести;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влажность на границе раскатывания;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относительное содержание органических веществ;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удельное сцепление;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угол внутреннего трения;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модуль деформации грунта.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Calibri" w:hAnsi="Times New Roman" w:cs="Times New Roman"/>
          <w:sz w:val="28"/>
          <w:szCs w:val="28"/>
        </w:rPr>
        <w:t>- значения модуля деформации талого грунта принять в интервале давлений 0,1-0,2 МПа.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2.3.3.1.2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Д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ля мерзлых глинистых и песчаных грунтов: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влажность суммарная;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влажность за счет содержащейся незамерзшей воды;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влажность между ледяными прослойками; 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влажность за счет порового льда;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влажность на границе текучести;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влажность на границе раскатывания; 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плотность мерзлого грунта; 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плотность частиц грунта;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относительное содержание органических веществ;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 xml:space="preserve">- концентрация порового раствора; 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сопротивление срезу по поверхности смерзания с бетоном (грунт-бетон),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Raf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эквивалентное сцепление; 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коэффициент оттаивания;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коэффициент сжимаемости при оттаивании; 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коэффициент сжимаемости мёрзлого грунта;</w:t>
      </w:r>
    </w:p>
    <w:p w:rsidR="006671D2" w:rsidRPr="006671D2" w:rsidRDefault="006671D2" w:rsidP="006671D2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модуль деформации мерзлого грунта.</w:t>
      </w:r>
    </w:p>
    <w:p w:rsidR="006671D2" w:rsidRPr="006671D2" w:rsidRDefault="006671D2" w:rsidP="006671D2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6671D2">
        <w:rPr>
          <w:rFonts w:ascii="Times New Roman" w:eastAsia="Calibri" w:hAnsi="Times New Roman" w:cs="Times New Roman"/>
          <w:sz w:val="28"/>
          <w:szCs w:val="28"/>
        </w:rPr>
        <w:t>- значения коэффициента сжимаемости и модуля деформации мерзлого грунта принять в интервале давлений 0,1-0,2 МПа, испытания провести согласно ГОСТ 12248.10-2020.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2.3.3.2 Температуру начала замерзания и теплофизические характеристики грунтов привести согласно СП 25.13330.2020.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2.3.3.3 Испытания мерзлых грунтов провести при температуре -1 °С.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2.3.3.4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О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пределить коррозионные свойства грунтов и грунтовых вод по отношению к стали, агрессивность грунтов по отношению к бетону и арматуре железобетонных конструкций,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пучинистость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грунтов.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2.3.4 Камеральные работы: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2.3.4.1 Составление программы производства работ.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2.3.4.2 Камеральная обработка буровых работ;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2.3.4.3 Камеральная обработка комплексных исследований и отдельных определений физико-механических свой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ств гр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унтов (пород);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2.3.4.4 Камеральная обработка термометрических наблюдений за глубиной сезонного промерзания (простаивания) грунтов;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2.3.4.5 Составление технического отчета (заключения) о результатах выполненных работ;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2.3.4.6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О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беспечить доверительную вероятность расчетных данных и характеристик: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для первой группы предельных состояний - 0.95;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для второй группы предельных состояний - 0.85.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2.4 Разработка проектно-сметной документации.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2.4.1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Р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азработать проектную документацию в стадии «П» (проектная документация) и в стадии «Р» рабочая документация. Разделы проектной документации предусмотреть в соответствии с требованиями от 16 февраля 2008 года №87 Постановления Правительства «О составе разделов проектной документации и требованиях к их содержанию».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2.4.2 Проектную часть выполнить в составе: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раздел 1 «Пояснительная записка;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раздел 2 «Схема планировочной организации земельного участка»;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раздел 4 «Конструктивные решения»;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раздел 7 «Проект организации строительства»;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раздел 12 «Смета на строительства объектов капитального строительства».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lastRenderedPageBreak/>
        <w:t>2.5 Организация получения заключений государственной экспертизы (в пределах настоящего договора).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2.5.1 1 Этап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Получение положительного заключения о соответствии результатов инженерных изысканий требованиям технических регламентов в Краевом государственном автономном учреждении «Красноярская краевая государственная экспертиза».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2.5.2 2 Этап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Получение положительного 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заключения государственной экспертизы проверки достоверности сметной стоимости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в Краевом государственном автономном учреждении «Красноярская краевая государственная экспертиза».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3. Основные требования к выполнению работ.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 Требования к содержанию, объему и качеству работ: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3.1.1 Федерального Закона №51 от 30.11.1994 г. «Гражданский кодекс Российской Федерации»;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3.1.2 Федерального Закона №190 от 29.12.2004 г. «Градостроительный кодекс Российской Федерации»;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3.1.3 Федерального Закона от 30 декабря 2009 г. №384-ФЗ «Технический регламент о безопасности зданий и сооружений» (включая Приказ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Росстандарта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№-831 от 17.04.2019);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3.1.4 Межгосударственный стандарт ГОСТ 31937-2024 «Здания и сооружения. Правила обследования и мониторинга технического состояния»;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3.1.5 Свод правил по проектированию и строительству СП 13-102-2003 «Правила обследования несущих строительных конструкций зданий и сооружений»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3.1.6 Свод правил по проектированию и строительству СП 25.13330.2020 «Основания и фундаменты на вечномерзлых грунтах»;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3.1.7 Свод правил по проектированию и строительству СП 454.1325800.2019 «Свод правил. Здания жилые многоквартирные. Правила оценки аварийного и ограниченно-работоспособного технического состояния»;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3.1.8 МДС 13-20.2004 «Комплексная методика по обследованию и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энергоаудиту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реконструируемых зданий. Пособие по проектированию»;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3.1.9 МДС 48-86(р) №Правила безопасности при проведении обследования жилых зданий для проектирования капитального ремонта»;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3.1.10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И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ными действующими нормативными документами обязательными для применения на территории РФ;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3.1.11 Обследование основания и фундаментов провести с целью определения: проведения обмерных работ несущих и ограждающих конструкций фундаментов (фундаментов, балок, плит перекрытия, ограждающих конструкций подполья); дефектов фундаментов здания с составлением ведомости дефектов; объемов работ и материалов, необходимых для устранения дефектов.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Подтвердить инженерно-геологическими изысканиями изученность оттаивания мерзлого грунта.</w:t>
      </w:r>
    </w:p>
    <w:p w:rsidR="006671D2" w:rsidRPr="006671D2" w:rsidRDefault="006671D2" w:rsidP="006671D2">
      <w:pPr>
        <w:spacing w:after="160" w:line="259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3.1.12 Инженерно-геодезические изыскания выполнить с составлением топографической съемки придомовой территории. Топографическую съемку выполнить в системе координат МСК-165 принятой для Красноярского края и Балтийской системе высот, в масштабе 1:500 (предварительно), высота сечения рельефа 0,5 м (предварительно). На топографическую съемку нанести 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существующее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коммуникации.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3.1.13 Раздел по восстановлению несущих конструкций фундаментов разработать на основании отчетных материалах обследования. В рамках раздела предусмотреть работы и материалы на восстановление элементов благоустройства территории (при необходимости).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3.1.14 Раздел по устройству (дооборудованию) сети ГТМ разработать при необходимости. Необходимость определить в ходе обследования.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3.1.15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Р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азработать проект стабилизации основания при необходимости, руководствуясь результатами инженерных изысканий. Необходимость определить в ходе обследования. Метод стабилизации согласовать с заказчиком перед началом проектирования.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3.1.16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И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сходя из оценки несущей способности ж/б конструкций, определить методы по восстановлению, в том числе с применением технологий внешнего армирования (по СП 164.1325800.2014), а также конструкционного ремонта железобетонных конструкций согласно требованиям СП 28.13330.2017, а также ГОСТ 32017-2012, ГОСТ 33762-2016, ГОСТ 56378-2015.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3.2 Требования к составлению сметной документации.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Сметную документацию разработать в соответствии с «Методикой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«утверждённой приказом Министерства строительства и жилищн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о-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коммунального хозяйства Российской Федераци11 от 4 августа 2020 r. № 421/пр. ресурсно-индексным методом (РИМ) с применением ФСНБ-2022 ( Изм.1-8) на основании Приказ Минстроя России от 30.12.2021 № 1046/</w:t>
      </w:r>
      <w:proofErr w:type="spellStart"/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; Приказ Минстроя России от 04.08.2020 № 421 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; Приказ Минстроя России от 21.12.2020 № 812/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; Приказ Минстроя России от 11.12.2020 № 774/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; Приказ Минстроя России от 02.08.2023 № 551 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; Приказ Минстроя России от 14.11.2023 № 817/пр.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Накладные расходы принять согласно Приказу Министерства строительства и ЖКХ Российской Федерации от 21.12.2020 № 812/</w:t>
      </w:r>
      <w:proofErr w:type="spellStart"/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(в ред. Приказов Минстроя РФ от 02.09.2021 N 636/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, от 26.07.2022 N 611/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) для районов Крайнего Севера с учетом понижающего коэффициента 0,9 (п. 25, п.26 данного Приказа)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 xml:space="preserve">Сметную прибыль принять согласно Приказу Министерства строительства и ЖКХ Российской Федерации от 11.12.2020 № 774/ </w:t>
      </w:r>
      <w:proofErr w:type="spellStart"/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(в ред. Приказа Минстроя РФ от 22.04.2022 №317/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) с учетом понижающего коэффициента 0,85 (п. 16 данного приказа).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Для пересчета из базисного уровня цен 2001 года в текущий уровень цен применять индексы изменения сметной стоимости по элементам затрат по объектам строительства согласно приложения к письму Минстроя России для Красноярского края (3 зона) на дату направления сметной документации на государственную экспертизу.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Стоимость строительных материалов определять на основании сборников федеральных сметных цен на материалы, изделия и конструкции, применяемые в строительстве, внесенных в федеральный реестр сметных нормативов и утвержденных Приказом Минстроя России №876/</w:t>
      </w:r>
      <w:proofErr w:type="spellStart"/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от 26.12.2019 г. (с изменениями и дополнениями).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Стоимость строительных материалов и оборудования, отсутствующих в сборниках федеральных сметных цен (ФССЦ), принять согласно п.13, п.14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Методики по наиболее экономичному варианту, определенному на основании прейскурантов, прайс-листов, коммерческих предложений не менее, чем от 3 (трех) производителей и (или) поставщиков (на основании конъюнктурного анализа) с приложением к сметной документации с учетом транспортных затрат от поставщика до объекта.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 случае, когда предприятие обладает патентом, стоимость материала (изделия) принимается без сравнения стоимости, в данном случае патент предоставляется в составе документации.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 локальные сметные расчеты включить: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1) Для учета в локальных сметных расчетах (сметах) усложняющих факторов условий производства работ, обоснованных в проектной и (или) иной технической документации, к сметным нормам применяются коэффициенты, предусмотренные пунктами 16 - 20 Методики (Приложение №10 Методики).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2) Учесть при отсутствии необходимых сметных норм (единичных расценок), включенных в сборники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ГЭСНр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(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ФЕРр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ТЕРр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), сметные затраты на работы по капитальному ремонту и реконструкции объектов капитального строительства 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с применением коэффициентов 1, 15 к затратам труда (оплате труда) рабочих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и 1,25 нормам времени (стоимости) эксплуатации машин и механизмов, затратам труда (оплате труда) машинистов. (Методика п.58 (а, 6), 59 (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а-е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))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3) Учесть стоимость перевозки (вывоза) строительного мусора, лишнего грунта до полигона ТБО (расстояние от площадки производства работ до полигона ТБО предоставляет Заказчик)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 сводно-сметный расчет включить: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1) Дополнительные затраты при производстве работ в зимнее время размер средств предусмотреть по нормативам Приказа Министерства 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строительства и жилищно-коммунального хозяйства РФ от 25 мая 2021 г. N 325/</w:t>
      </w:r>
      <w:proofErr w:type="spellStart"/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"Об утверждении Методик и определения дополн.ителы-1ых затрат при производстве работ в зимнее время" Приложение 4 п. 27.1 Приложение 2 п.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1.2 Панельные жилые дома -3,86%х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,5=5,79%, согласно п.27.1 прил.4, п.1.1 прил.2 (жилые дома со стенами из кирпича -3,96%* 1,5=5,94%)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2) Затраты на строительство временных зданий и сооружений лимит средств предусмотреть по Приказа Минстроя России от 19.06.2020 N 332/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</w:t>
      </w:r>
      <w:proofErr w:type="spellEnd"/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О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б утверждении Методики определения затрат на строительство временных зданий и сооружений, включаемых в сводный сметный расчет стоимости строительства объектов капитального строительства Приложение №2 п. 1.1 (объекты жилищного назначения -0,9%)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3) Резерв средств на непредвиденные работы и затраты принять согласно Методики п. 179 а -2 %.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4) Командировочные расходы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5) Расходы на перебазировку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В смете на разработку проектно-сметной документации применяется коэффициент 1,8 исключительно в случае, если подрядная организация зарегистрирована на территории районов Крайнего Севера (r.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Норильск).</w:t>
      </w:r>
      <w:proofErr w:type="gramEnd"/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Применение коэффициента, подтверждается исполнителем работ его согласно МУ СБЦП п. 3.15.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3.3 Перечень Законодательных актов, технических и технологических регламентов (норм и правил) государственных стандартов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3.3.1 Нормативная документация, используемая при выполнении проектирования по ремонту несущих 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конструкций стабилизации грунтов основания здания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Градостроительный кодекс РФ;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Федеральный закон РФ «Технический регламент о безопасности зданий и сооружений» от 30.12.20119 г. №384-ФЗ;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Следующие нормативы в актуальной редакции: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20.13330.2016«СНиП 2.01.07-85*Нагрузки и воздействия»;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22.13330.2016 «СНиП 2.02.01-83* Основания зданий и сооружений»;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24.13330.2021 «СНиП 2.02.03-85 Свайные фундаменты»;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25.13330.2020 «СНиП 2.02.04-85 Основания и фундаменты на вечномерзлых грунтах»;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28.13330.2017 «СНиП 2.03.11-85* Защита строительных конструкций от коррозии»;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131.13330.2025 «СНиП 23-01-99* «Строительная климатология»;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54.13330.2022 «СНиП 31-01-2003 Здания жилые многоквартирные»;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48.13330.2019 «СНиП 12-01-2004 Организация строительства»;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47.13330.2016 «Инженерные изыскания для строительства»;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- СП 116.13330.2012 «Инженерная защита территорий, зданий, сооружений от опасных геологических процессов»;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47.13330.2016 «Инженерные изыскания для строительства»;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493.1325800.2020 «Инженерные изыскания для строительства в районах распространения многолетнемерзлых грунтов. Общие требования»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446.1325800.2019 «Инженерно-геологические изыскания для строительства. Общие правила производства работ»;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СНиП 12-03-2001 «Безопасность труда в строительстве. Часть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1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. Общие требования»;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СНиП 12-03-2001 «Безопасность труда в строительстве Часть 2. Строительное производство»;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СП 68.13330.2017 «СНиП 3.01.04-87 Правила приемки в эксплуатацию законченных строительством объектов»;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ГОСТ 27751-2014 «Надежность </w:t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строительных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конструкции. Основные положения»;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ГОСТ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proofErr w:type="gramStart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Р</w:t>
      </w:r>
      <w:proofErr w:type="gram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21.101-2020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«Система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проектной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документации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для строительства. Основные требования к проектной и рабочей документации;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МДС 13-1.99 «Инструкция о составе, порядке разработки, согласования и утверждения проектно-сметной документации на капитальный ремонт жилых зданий».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ВСН 61-89(р) «Реконструкция и капитальный ремонт жилых зданий. Нормы проектирования».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ВСН 58-88(р) «Положение об организации и проведения реконструкции, ремонта и технического обследования жилых домов, объектов коммунального хозяйства и социально-культурного назначения».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- ВСН 41-85(р) «Инструкция по разработке проектов организации и проектов производства работ». 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40" w:lineRule="auto"/>
        <w:ind w:firstLine="567"/>
        <w:contextualSpacing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4.Количество передаваемой документации.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Проектную документацию, результаты инженерных изысканий выдать: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 3 экземплярах на бумажном носителе;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на 1 лазерном диске в электронном виде;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Сметную документацию выдать: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в 3 экземплярах на бумажном носителе;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- на 1 лазерном диске в электронном виде в программе «Гранд Смета (</w:t>
      </w:r>
      <w:r w:rsidRPr="006671D2">
        <w:rPr>
          <w:rFonts w:ascii="Times New Roman" w:eastAsia="Malgun Gothic" w:hAnsi="Times New Roman" w:cs="Times New Roman"/>
          <w:sz w:val="28"/>
          <w:szCs w:val="28"/>
          <w:lang w:val="en-US" w:eastAsia="ko-KR"/>
        </w:rPr>
        <w:t>XML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), </w:t>
      </w:r>
      <w:r w:rsidRPr="006671D2">
        <w:rPr>
          <w:rFonts w:ascii="Times New Roman" w:eastAsia="Malgun Gothic" w:hAnsi="Times New Roman" w:cs="Times New Roman"/>
          <w:sz w:val="28"/>
          <w:szCs w:val="28"/>
          <w:lang w:val="en-US" w:eastAsia="ko-KR"/>
        </w:rPr>
        <w:t>MS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671D2">
        <w:rPr>
          <w:rFonts w:ascii="Times New Roman" w:eastAsia="Malgun Gothic" w:hAnsi="Times New Roman" w:cs="Times New Roman"/>
          <w:sz w:val="28"/>
          <w:szCs w:val="28"/>
          <w:lang w:val="en-US" w:eastAsia="ko-KR"/>
        </w:rPr>
        <w:t>Exel</w:t>
      </w:r>
      <w:proofErr w:type="spellEnd"/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;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5. Требования к Подрядной организации (исполнителя работ).</w:t>
      </w:r>
    </w:p>
    <w:p w:rsidR="006671D2" w:rsidRPr="006671D2" w:rsidRDefault="006671D2" w:rsidP="006671D2">
      <w:pPr>
        <w:spacing w:after="16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Для обеспечения качественного выполнения работ в условиях ММГ, необходимо обеспечить квалификацию кадрового состава:</w:t>
      </w:r>
    </w:p>
    <w:p w:rsidR="006671D2" w:rsidRPr="006671D2" w:rsidRDefault="006671D2" w:rsidP="006671D2">
      <w:pPr>
        <w:numPr>
          <w:ilvl w:val="0"/>
          <w:numId w:val="24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Наличие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инженерно-технического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персонала, отвечающего</w:t>
      </w: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за подготовку ПСД.</w:t>
      </w:r>
    </w:p>
    <w:p w:rsidR="006671D2" w:rsidRPr="006671D2" w:rsidRDefault="006671D2" w:rsidP="006671D2">
      <w:pPr>
        <w:numPr>
          <w:ilvl w:val="0"/>
          <w:numId w:val="24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Наличие программного обеспечения необходимого для разработки ПСД и проведения расчетов.</w:t>
      </w:r>
    </w:p>
    <w:p w:rsidR="006671D2" w:rsidRPr="006671D2" w:rsidRDefault="006671D2" w:rsidP="006671D2">
      <w:pPr>
        <w:numPr>
          <w:ilvl w:val="0"/>
          <w:numId w:val="24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Наличие допусков для выполнения проектных и изыскательских работ (членство в СРО).</w:t>
      </w:r>
    </w:p>
    <w:p w:rsidR="006671D2" w:rsidRPr="006671D2" w:rsidRDefault="006671D2" w:rsidP="006671D2">
      <w:pPr>
        <w:numPr>
          <w:ilvl w:val="0"/>
          <w:numId w:val="24"/>
        </w:numPr>
        <w:spacing w:after="160" w:line="240" w:lineRule="auto"/>
        <w:ind w:left="0" w:firstLine="567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Опыт проведения обследований строительных конструкций и инженерных изысканий на территории Норильского промышленного района.</w:t>
      </w:r>
    </w:p>
    <w:p w:rsidR="006671D2" w:rsidRPr="006671D2" w:rsidRDefault="006671D2" w:rsidP="006671D2">
      <w:pPr>
        <w:spacing w:after="160" w:line="240" w:lineRule="auto"/>
        <w:ind w:left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6671D2" w:rsidRPr="006671D2" w:rsidRDefault="006671D2" w:rsidP="006671D2">
      <w:pPr>
        <w:spacing w:after="160" w:line="259" w:lineRule="auto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br w:type="page"/>
      </w:r>
    </w:p>
    <w:p w:rsidR="006671D2" w:rsidRPr="006671D2" w:rsidRDefault="006671D2" w:rsidP="006671D2">
      <w:pPr>
        <w:spacing w:after="160" w:line="259" w:lineRule="auto"/>
        <w:jc w:val="right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Приложение 1</w:t>
      </w:r>
    </w:p>
    <w:p w:rsidR="006671D2" w:rsidRPr="006671D2" w:rsidRDefault="006671D2" w:rsidP="006671D2">
      <w:pPr>
        <w:spacing w:after="160" w:line="259" w:lineRule="auto"/>
        <w:jc w:val="center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>Граница участка изысканий</w:t>
      </w:r>
    </w:p>
    <w:p w:rsidR="006671D2" w:rsidRPr="006671D2" w:rsidRDefault="006671D2" w:rsidP="006671D2">
      <w:pPr>
        <w:spacing w:after="160" w:line="259" w:lineRule="auto"/>
        <w:jc w:val="center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52131F" wp14:editId="77B460B5">
            <wp:extent cx="5487166" cy="6630325"/>
            <wp:effectExtent l="0" t="0" r="0" b="0"/>
            <wp:docPr id="1" name="Рисунок 1" descr="Изображение выглядит как карта, текс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60305" name="Рисунок 1" descr="Изображение выглядит как карта, текс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66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1D2" w:rsidRPr="006671D2" w:rsidRDefault="006671D2" w:rsidP="006671D2">
      <w:pPr>
        <w:spacing w:after="160" w:line="259" w:lineRule="auto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6671D2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              </w:t>
      </w:r>
      <w:bookmarkStart w:id="0" w:name="_GoBack"/>
      <w:bookmarkEnd w:id="0"/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8215"/>
      </w:tblGrid>
      <w:tr w:rsidR="006671D2" w:rsidRPr="006671D2" w:rsidTr="002319B9">
        <w:tc>
          <w:tcPr>
            <w:tcW w:w="1271" w:type="dxa"/>
          </w:tcPr>
          <w:p w:rsidR="006671D2" w:rsidRPr="006671D2" w:rsidRDefault="006671D2" w:rsidP="006671D2">
            <w:pPr>
              <w:spacing w:after="160" w:line="259" w:lineRule="auto"/>
              <w:rPr>
                <w:sz w:val="28"/>
                <w:szCs w:val="28"/>
              </w:rPr>
            </w:pPr>
            <w:r w:rsidRPr="006671D2">
              <w:rPr>
                <w:noProof/>
                <w:sz w:val="28"/>
                <w:szCs w:val="28"/>
              </w:rPr>
              <w:drawing>
                <wp:inline distT="0" distB="0" distL="0" distR="0" wp14:anchorId="4CE2D7D0" wp14:editId="357E257F">
                  <wp:extent cx="715305" cy="284018"/>
                  <wp:effectExtent l="0" t="0" r="889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lumMod val="60000"/>
                                <a:lumOff val="40000"/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590" cy="305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5" w:type="dxa"/>
          </w:tcPr>
          <w:p w:rsidR="006671D2" w:rsidRPr="006671D2" w:rsidRDefault="006671D2" w:rsidP="006671D2">
            <w:pPr>
              <w:spacing w:after="160" w:line="259" w:lineRule="auto"/>
              <w:rPr>
                <w:sz w:val="28"/>
                <w:szCs w:val="28"/>
              </w:rPr>
            </w:pPr>
            <w:r w:rsidRPr="006671D2">
              <w:rPr>
                <w:sz w:val="28"/>
                <w:szCs w:val="28"/>
              </w:rPr>
              <w:t>- Граница изысканий</w:t>
            </w:r>
            <w:r w:rsidRPr="006671D2">
              <w:rPr>
                <w:sz w:val="28"/>
                <w:szCs w:val="28"/>
              </w:rPr>
              <w:tab/>
            </w:r>
          </w:p>
        </w:tc>
      </w:tr>
    </w:tbl>
    <w:p w:rsidR="0040537B" w:rsidRPr="0092549D" w:rsidRDefault="0040537B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92549D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Разработал:</w:t>
      </w:r>
    </w:p>
    <w:p w:rsidR="0040537B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Специалист </w:t>
      </w:r>
    </w:p>
    <w:p w:rsidR="0092549D" w:rsidRPr="0092549D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ООО «Заполярный жилищный трест»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 / А.С. Ахметов /</w:t>
      </w:r>
    </w:p>
    <w:p w:rsidR="00B12DCF" w:rsidRPr="0040537B" w:rsidRDefault="0092549D" w:rsidP="00405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3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«___» __________ 2026 г.</w:t>
      </w:r>
    </w:p>
    <w:sectPr w:rsidR="00B12DCF" w:rsidRPr="0040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61A"/>
    <w:multiLevelType w:val="multilevel"/>
    <w:tmpl w:val="1E2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A11F5"/>
    <w:multiLevelType w:val="multilevel"/>
    <w:tmpl w:val="98381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11F0C2F"/>
    <w:multiLevelType w:val="multilevel"/>
    <w:tmpl w:val="484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E5AEB"/>
    <w:multiLevelType w:val="multilevel"/>
    <w:tmpl w:val="79C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B6C79"/>
    <w:multiLevelType w:val="multilevel"/>
    <w:tmpl w:val="D84C70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C0F53"/>
    <w:multiLevelType w:val="multilevel"/>
    <w:tmpl w:val="33B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05CCF"/>
    <w:multiLevelType w:val="multilevel"/>
    <w:tmpl w:val="594AC0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704E8"/>
    <w:multiLevelType w:val="multilevel"/>
    <w:tmpl w:val="C664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75259C"/>
    <w:multiLevelType w:val="multilevel"/>
    <w:tmpl w:val="2D98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C7BF1"/>
    <w:multiLevelType w:val="multilevel"/>
    <w:tmpl w:val="8A2074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A56C43"/>
    <w:multiLevelType w:val="hybridMultilevel"/>
    <w:tmpl w:val="06F655E0"/>
    <w:lvl w:ilvl="0" w:tplc="BD3C2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EA11A6"/>
    <w:multiLevelType w:val="multilevel"/>
    <w:tmpl w:val="70AE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F76712"/>
    <w:multiLevelType w:val="multilevel"/>
    <w:tmpl w:val="A46421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1D7C31"/>
    <w:multiLevelType w:val="hybridMultilevel"/>
    <w:tmpl w:val="B17C99F8"/>
    <w:lvl w:ilvl="0" w:tplc="B0CE3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0CE3F1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A460448"/>
    <w:multiLevelType w:val="multilevel"/>
    <w:tmpl w:val="BCD8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290562"/>
    <w:multiLevelType w:val="multilevel"/>
    <w:tmpl w:val="7EBA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421128"/>
    <w:multiLevelType w:val="multilevel"/>
    <w:tmpl w:val="BE66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DC4C78"/>
    <w:multiLevelType w:val="multilevel"/>
    <w:tmpl w:val="BC58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EC2CAC"/>
    <w:multiLevelType w:val="multilevel"/>
    <w:tmpl w:val="F872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9C7DB1"/>
    <w:multiLevelType w:val="multilevel"/>
    <w:tmpl w:val="ACA2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B675DB"/>
    <w:multiLevelType w:val="multilevel"/>
    <w:tmpl w:val="238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6B2370"/>
    <w:multiLevelType w:val="multilevel"/>
    <w:tmpl w:val="76A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A42792"/>
    <w:multiLevelType w:val="multilevel"/>
    <w:tmpl w:val="7FA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3F003F"/>
    <w:multiLevelType w:val="multilevel"/>
    <w:tmpl w:val="3E0478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19"/>
  </w:num>
  <w:num w:numId="5">
    <w:abstractNumId w:val="16"/>
  </w:num>
  <w:num w:numId="6">
    <w:abstractNumId w:val="5"/>
  </w:num>
  <w:num w:numId="7">
    <w:abstractNumId w:val="11"/>
  </w:num>
  <w:num w:numId="8">
    <w:abstractNumId w:val="17"/>
  </w:num>
  <w:num w:numId="9">
    <w:abstractNumId w:val="0"/>
  </w:num>
  <w:num w:numId="10">
    <w:abstractNumId w:val="21"/>
  </w:num>
  <w:num w:numId="11">
    <w:abstractNumId w:val="22"/>
  </w:num>
  <w:num w:numId="12">
    <w:abstractNumId w:val="20"/>
  </w:num>
  <w:num w:numId="13">
    <w:abstractNumId w:val="2"/>
  </w:num>
  <w:num w:numId="14">
    <w:abstractNumId w:val="14"/>
  </w:num>
  <w:num w:numId="15">
    <w:abstractNumId w:val="8"/>
  </w:num>
  <w:num w:numId="16">
    <w:abstractNumId w:val="12"/>
  </w:num>
  <w:num w:numId="17">
    <w:abstractNumId w:val="15"/>
  </w:num>
  <w:num w:numId="18">
    <w:abstractNumId w:val="9"/>
  </w:num>
  <w:num w:numId="19">
    <w:abstractNumId w:val="4"/>
  </w:num>
  <w:num w:numId="20">
    <w:abstractNumId w:val="6"/>
  </w:num>
  <w:num w:numId="21">
    <w:abstractNumId w:val="23"/>
  </w:num>
  <w:num w:numId="22">
    <w:abstractNumId w:val="13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60"/>
    <w:rsid w:val="00167A7C"/>
    <w:rsid w:val="0040537B"/>
    <w:rsid w:val="006671D2"/>
    <w:rsid w:val="006E1F3D"/>
    <w:rsid w:val="00707248"/>
    <w:rsid w:val="0092549D"/>
    <w:rsid w:val="00B12DCF"/>
    <w:rsid w:val="00D023AC"/>
    <w:rsid w:val="00DA679D"/>
    <w:rsid w:val="00EA78A8"/>
    <w:rsid w:val="00EB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5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549D"/>
    <w:rPr>
      <w:b/>
      <w:bCs/>
    </w:rPr>
  </w:style>
  <w:style w:type="character" w:styleId="a4">
    <w:name w:val="Emphasis"/>
    <w:basedOn w:val="a0"/>
    <w:uiPriority w:val="20"/>
    <w:qFormat/>
    <w:rsid w:val="0092549D"/>
    <w:rPr>
      <w:i/>
      <w:iCs/>
    </w:rPr>
  </w:style>
  <w:style w:type="paragraph" w:styleId="a5">
    <w:name w:val="List Paragraph"/>
    <w:basedOn w:val="a"/>
    <w:uiPriority w:val="34"/>
    <w:qFormat/>
    <w:rsid w:val="0092549D"/>
    <w:pPr>
      <w:ind w:left="720"/>
      <w:contextualSpacing/>
    </w:pPr>
  </w:style>
  <w:style w:type="table" w:customStyle="1" w:styleId="11">
    <w:name w:val="Сетка таблицы1"/>
    <w:basedOn w:val="a1"/>
    <w:next w:val="a6"/>
    <w:rsid w:val="006671D2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6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5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549D"/>
    <w:rPr>
      <w:b/>
      <w:bCs/>
    </w:rPr>
  </w:style>
  <w:style w:type="character" w:styleId="a4">
    <w:name w:val="Emphasis"/>
    <w:basedOn w:val="a0"/>
    <w:uiPriority w:val="20"/>
    <w:qFormat/>
    <w:rsid w:val="0092549D"/>
    <w:rPr>
      <w:i/>
      <w:iCs/>
    </w:rPr>
  </w:style>
  <w:style w:type="paragraph" w:styleId="a5">
    <w:name w:val="List Paragraph"/>
    <w:basedOn w:val="a"/>
    <w:uiPriority w:val="34"/>
    <w:qFormat/>
    <w:rsid w:val="0092549D"/>
    <w:pPr>
      <w:ind w:left="720"/>
      <w:contextualSpacing/>
    </w:pPr>
  </w:style>
  <w:style w:type="table" w:customStyle="1" w:styleId="11">
    <w:name w:val="Сетка таблицы1"/>
    <w:basedOn w:val="a1"/>
    <w:next w:val="a6"/>
    <w:rsid w:val="006671D2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6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3664</Words>
  <Characters>20887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7</cp:revision>
  <dcterms:created xsi:type="dcterms:W3CDTF">2026-02-20T17:53:00Z</dcterms:created>
  <dcterms:modified xsi:type="dcterms:W3CDTF">2026-03-17T18:32:00Z</dcterms:modified>
</cp:coreProperties>
</file>