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ИЗВЕЩЕНИЕ № ЗЖТ-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/2026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О ПРОВЕДЕНИИ КОНКУРСА ПО ОТБОРУ ПОДРЯДНОЙ ОРГАНИЗАЦИИ ДЛЯ ВЫПОЛНЕНИЯ 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МЕРОПРИЯТИ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 ПО ТЕРМОСТАБИЛИЗАЦИИ ГРУНТОВ ПОД МНОГОКВАРТИРНЫМИ ДОМАМИ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  <w:t xml:space="preserve">г. Норильск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  <w:t xml:space="preserve">«20» февраля 2026 г.</w:t>
      </w: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tbl>
      <w:tblPr>
        <w:tblW w:w="9498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985"/>
        <w:gridCol w:w="7513"/>
      </w:tblGrid>
      <w:tr>
        <w:tblPrEx/>
        <w:trPr>
          <w:trHeight w:val="1124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Полное наименование конкурса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5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ероприятия по термостабилиза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ции грунтов под многоквартирным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 дом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ом,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 расположенн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ым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 по адресу: Красноярский край, г. Норильск, Центральный район, проспект Ленинский, дом 1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</w:tr>
    </w:tbl>
    <w:p>
      <w:pPr>
        <w:pStyle w:val="637"/>
        <w:numPr>
          <w:ilvl w:val="0"/>
          <w:numId w:val="3"/>
        </w:numPr>
        <w:jc w:val="center"/>
        <w:spacing w:line="450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32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32"/>
          <w:lang w:eastAsia="ru-RU"/>
        </w:rPr>
        <w:t xml:space="preserve">ЗАКАЗЧИК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32"/>
          <w:lang w:eastAsia="ru-RU"/>
        </w:rPr>
      </w:r>
    </w:p>
    <w:tbl>
      <w:tblPr>
        <w:tblW w:w="9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«Заполярный жилищный трест» (ООО «ЗЖТ»)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нахождения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663300, Красноярский край, г. Норильск, 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Комсомольская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663300, Красноярский край, г. Норильск, р-н Центральный,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Комсомольская, д. 26А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Телефон (приемная)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+7 (3919) 46-72-88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 электронной почты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jil_trest@mail.ru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Ахметов Александр Садыкович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– специалист ООО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«Заполярный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жилищный трест»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Контактный телефон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8-923-364-64-44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Ответственное лицо за заключение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Куфтанова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Наталья Александровна – юрист по правовым вопросам, тел. +7 (3919) 46-73-71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240" w:line="450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2. ПРЕДМЕТ КОНКУРСА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tbl>
      <w:tblPr>
        <w:tblW w:w="9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10"/>
        <w:gridCol w:w="7234"/>
      </w:tblGrid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Объект закупки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34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мероприятий по термостабилизации грунтов под многоквартирным домом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Лот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34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лот (выделение нескольких лотов не предусмотрено)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 объекта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34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Жилое здание, объект культурного наследия регионального значения «Ансамбль застройки центра, 1940–1960 гг.: дом жилой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магазинами», 1957 г. Адрес: Красноярский край, г. Норильск, Центральный район, проспект Ленинский, дом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выполняемых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34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(Приложение №1 к конкурсной документации) и проектной документацией (шифры: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ЗЖТ-18-2024-КР, ЗЖТ-18-2024-ТСГ, ЗЖТ-18-2024-ПЗУ, ЗЖТ-18-2024-ПГМ, ЗЖТ-18-2024-ПОС)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выполнения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34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Красноярский край, г. Норильск, Центральный район, проспект Ленинский, дом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3. СРОКИ ВЫПОЛНЕНИЯ РАБОТ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tbl>
      <w:tblPr>
        <w:tblW w:w="9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Начало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даты заключения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Окончание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Промежуточные сроки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соответствии с Графиком производства работ (Приложение №3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4. НАЧАЛЬНАЯ (МАКСИМАЛЬНАЯ) ЦЕНА ДОГОВОРА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tbl>
      <w:tblPr>
        <w:tblW w:w="9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Начальная (максимальная) цена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141 981 260,00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 (сто сорок один миллион девятьсот восемьдесят одна тысяча двести шестьдесят рублей ноль копеек) рублей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00 копеек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, в том числе НДС 22%</w:t>
            </w:r>
            <w:bookmarkStart w:id="0" w:name="_GoBack"/>
            <w:r/>
            <w:bookmarkEnd w:id="0"/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Валюта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Российский рубль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Обоснование цены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Сводный сметный расчет № ССРСС-01, выполненный в текущем уровне цен IV квартала 2025 года в соответствии с Методикой определения сметной стоимости строительства (Приказ Минстроя РФ № 421/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 04.08.2020 в ред. № 557/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 07.07.2022)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240" w:line="450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5. ИСТОЧНИК ФИНАНСИРОВАНИЯ И ПОРЯДОК ОПЛАТЫ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tbl>
      <w:tblPr>
        <w:tblW w:w="9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убсиди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из бюджета муниципального образования город Норильск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предоставляемые в соответствии с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Постановлением Администрации города Норильска от 22.04.2022 № 235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«Об утверждении Порядка предоставления субсидии на финансовое обеспечение затрат на реализацию мероприятия по термостабилизации грунтов под многоквартирными домами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(бурение температурных скважин, инженерные изыскания, разработка проектной документации, прохождение государственной экспертизы и реализация мероприятий по термостабилизации) муниципального образования город Норильск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Целевое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назначение субсидии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 w:right="14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Финансовое обеспечение затрат на реализацию мероприятий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термостабилизации грунтов, включая бурение температурных скважин, и реализацию мероприятий по термостабилизации (монтаж СОУ, геотехнический мониторинг)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оплаты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Безналичный расчет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Порядок оплаты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 w:right="14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Оплата выполненных работ производится Заказчиком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после фактического поступления целевых субсидий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на его расчетный счет. Срок оплаты –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не более 5 (пяти) банковских дней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даты зачисления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субсидии.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Основание: п. 2.8 Порядка, утв. Постановлением № 235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Аванс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85" w:right="141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После заключения Соглашения, при наличии в Договоре подряда положения об авансировании, для предоставления субсидии в виде аванса в размере, не превышающем 30% от размера субсидии, 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Получатель Субсидии предоставляет в УЖКХ в срок до 15 мая текущего финансового года (в случае если финансирование Субсидии осуществляется за счет средств федерального, краевого и местного бюджетов) либо без предъявления требований к сроку предоставления (в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случае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 если финансирование Субсидии осуществляется за счет средств местного бюджета без 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софинансирования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 из федерального и краевого бюджетов) следующие документы: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r>
          </w:p>
          <w:p>
            <w:pPr>
              <w:ind w:left="185" w:right="141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1) копии договоров подряда на выполнение работ по термостабилизации грунтов под многоквартирными домами с пр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едоставлением копии положительных заключений государственной экспертизы проектной документации (в случаях, установленных законодательством) и (или) копии заключений о достоверности (положительных заключений) определения сметной стоимости выполняемых работ;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r>
          </w:p>
          <w:p>
            <w:pPr>
              <w:ind w:left="185" w:right="141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2) копии договоров подряда на проведение инженерных изысканий, разработку проектной документации;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r>
          </w:p>
          <w:p>
            <w:pPr>
              <w:ind w:left="185" w:right="141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3) счет на авансирование.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r>
          </w:p>
          <w:p>
            <w:pPr>
              <w:ind w:left="185" w:right="141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УЖКХ в течение 5 (пяти) рабочих дней со дня предоставления документов, указанных в </w:t>
            </w:r>
            <w:hyperlink r:id="rId10" w:tooltip="https://internet.garant.ru/#/document/404536372/entry/1215" w:anchor="/document/404536372/entry/1215" w:history="1">
              <w:r>
                <w:rPr>
                  <w:rFonts w:ascii="Times New Roman" w:hAnsi="Times New Roman" w:eastAsia="Times New Roman" w:cs="Times New Roman"/>
                  <w:color w:val="3272c0"/>
                  <w:sz w:val="24"/>
                  <w:szCs w:val="24"/>
                  <w:lang w:eastAsia="ru-RU"/>
                </w:rPr>
                <w:t xml:space="preserve">абзацах первом - третьем</w:t>
              </w:r>
            </w:hyperlink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 настоящего пункта, осуществляет их проверку на предмет их соответствия перечню, а также срокам их подачи, указанным в абзаце первом настоящего пункта.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r>
          </w:p>
          <w:p>
            <w:pPr>
              <w:ind w:left="185" w:right="141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Если предоставленные Получателем субсидии документы соответствуют перечню документов, указанному в настоящем пункте, и поданы без нарушения сроков, указанным в </w:t>
            </w:r>
            <w:hyperlink r:id="rId11" w:tooltip="https://internet.garant.ru/#/document/404536372/entry/1215" w:anchor="/document/404536372/entry/1215" w:history="1">
              <w:r>
                <w:rPr>
                  <w:rFonts w:ascii="Times New Roman" w:hAnsi="Times New Roman" w:eastAsia="Times New Roman" w:cs="Times New Roman"/>
                  <w:color w:val="3272c0"/>
                  <w:sz w:val="24"/>
                  <w:szCs w:val="24"/>
                  <w:lang w:eastAsia="ru-RU"/>
                </w:rPr>
                <w:t xml:space="preserve">абзаце первом</w:t>
              </w:r>
            </w:hyperlink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 настоящего пункта, УЖКХ не позднее истечения срока, ус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тановленного абзацем первым настоящего пункта, принимает решение о предоставлении субсидии в виде аванса в размере, не превышающем 30% от размера субсидии, направляет (вручает) Получателю субсидии за подписью директора письменное уведомление о соответствии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 предоставленных документов перечню настоящего Порядка и 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сроках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 перечисления Субсидии.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r>
          </w:p>
          <w:p>
            <w:pPr>
              <w:ind w:left="185" w:right="141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В случае если Получателем субсидии не соблюдены условия, указанные в </w:t>
            </w:r>
            <w:hyperlink r:id="rId12" w:tooltip="https://internet.garant.ru/#/document/404536372/entry/1215" w:anchor="/document/404536372/entry/1215" w:history="1">
              <w:r>
                <w:rPr>
                  <w:rFonts w:ascii="Times New Roman" w:hAnsi="Times New Roman" w:eastAsia="Times New Roman" w:cs="Times New Roman"/>
                  <w:color w:val="3272c0"/>
                  <w:sz w:val="24"/>
                  <w:szCs w:val="24"/>
                  <w:lang w:eastAsia="ru-RU"/>
                </w:rPr>
                <w:t xml:space="preserve">абзацах первом - третьем</w:t>
              </w:r>
            </w:hyperlink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 настоящего пункта, УЖКХ не позднее истечения срока, установленного </w:t>
            </w:r>
            <w:hyperlink r:id="rId13" w:tooltip="https://internet.garant.ru/#/document/404536372/entry/12155" w:anchor="/document/404536372/entry/12155" w:history="1">
              <w:r>
                <w:rPr>
                  <w:rFonts w:ascii="Times New Roman" w:hAnsi="Times New Roman" w:eastAsia="Times New Roman" w:cs="Times New Roman"/>
                  <w:color w:val="3272c0"/>
                  <w:sz w:val="24"/>
                  <w:szCs w:val="24"/>
                  <w:lang w:eastAsia="ru-RU"/>
                </w:rPr>
                <w:t xml:space="preserve">абзацем пятым</w:t>
              </w:r>
            </w:hyperlink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 настоящего пункта, направляет (вручает) Получателю 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субсидии за подписью директора УЖКХ письменное уведомление об отказе предоставлении субсидии в виде аванса в размере, не превышающем 30% от размера субсидии.</w:t>
            </w:r>
            <w:r>
              <w:rPr>
                <w:rFonts w:ascii="Times New Roman" w:hAnsi="Times New Roman" w:eastAsia="Times New Roman" w:cs="Times New Roman"/>
                <w:color w:val="22272f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Особое условие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 w:right="14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Заказчик не несет ответственности за просрочку оплаты, вызванную несвоевременным поступлением субсидий из бюджета (п. 3.2 Постановления № 235)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240" w:line="450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6. ТРЕБОВАНИЯ К УЧАСТНИКАМ ЗАКУПКИ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ind w:firstLine="709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Участник конкурса должен соответствовать требованиям, установленным разделом 1.6 Порядка привлечения подрядных организаций ООО «ЗЖТ»: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tbl>
      <w:tblPr>
        <w:tblW w:w="9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572"/>
        <w:gridCol w:w="4604"/>
        <w:gridCol w:w="4468"/>
      </w:tblGrid>
      <w:tr>
        <w:tblPrEx/>
        <w:trPr>
          <w:tblHeader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Требование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Подтверждающий документ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Соответствие законодательству РФ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Выписка из ЕГРЮЛ (нотариальная копия, не старше 6 месяцев)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проведение ликвидации, отсутствие банкротства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Выписка из ЕГРЮЛ, справка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приостановление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Справка (в произвольной форме)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Отсутствие задолженности по налогам и сборам &gt;25% балансовой стоимости активов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Справка из ИФНС об отсутствии задолженности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Отсутствие конфликта интересов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Декларация (в составе заявки)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Отсутствие судимости у руководителя и главбуха за экономические преступления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Справка о наличии/отсутствии судимости (или декларация)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Отсутствие в РНП (реестр недобросовестных поставщиков) по 44-ФЗ и 223-ФЗ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Декларация или выписка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 не является офшорной компанией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Декларация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Наличие лицензии Министерства культуры РФ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на осуществление деятельности по сохранению объектов культурного наследия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Не требуется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перед началом производства работ обязательно Подрядчик должен уведомить Службу охраны объектов)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Наличие СРО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по п. 33 Перечня, утв. Приказом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Минрегиона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№ 624 (организация строительства)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Выписка из реестра СРО (не старше 30 дней)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Квалифицированный персонал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 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менее 2 сотрудников с высшим образованием в строительстве и опытом от 5 лет, включенных в Национальный реестр специалистов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Копии дипломов, трудовых книжек,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уведомлений о включении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Нацреестр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Опыт работы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 наличие успешно завершенных объектов-аналогов за последний календарный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Копии договоров и актов выполненных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7. ОБЕСПЕЧЕНИЕ ЗАЯВКИ И ИСПОЛНЕНИЯ ДОГОВОРА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tbl>
      <w:tblPr>
        <w:tblW w:w="9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777"/>
        <w:gridCol w:w="7867"/>
      </w:tblGrid>
      <w:tr>
        <w:tblPrEx/>
        <w:trPr>
          <w:trHeight w:val="708"/>
          <w:tblHeader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1777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Вид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7867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Порядок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1777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Обеспечение исполнения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7867" w:type="dxa"/>
            <w:textDirection w:val="lrTb"/>
            <w:noWrap w:val="false"/>
          </w:tcPr>
          <w:p>
            <w:pPr>
              <w:spacing w:after="1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 Казначейское сопровождение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1.1.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соответствии с Бюджетным кодексом Российской Федерации, Федеральным законом от 28 ноября 2025 года №426-ФЗ «О федеральном бюджете на 2026 год и на плановый период 2027 и 2028 годов», Правилами казначейского сопровожд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ения, утвержденными постановлением Правительства Российской Федерации от 24.11.2021 № 2024 «О правилах казначейского сопровождения» устанавливается казначейское сопровождение Контракта (базовое казначейское сопровождение Контракта) (далее – Правила 2024).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1.2. Порядок осуществления казначейского сопровождения Контракта определяется в соответствии с постановлением Правительства Российской Федерации от 24.11.2021 № 2024 «О правилах казначейского сопровождения».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1.3. Подрядчик обязан: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1..3.1. в течение 30 (тридцати) рабочих дней со дня, следующего з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 днем заключения Контракта обратиться в Территориальный орган Федерального казначейства по месту своего нахождения с заявлением об открытии лицевого счета, предназначенного для учета соответствующих операций, с приложением необходимого пакета документов.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1.3.2 предоставлять в территориальные органы Федерального казначейства документы, предусмотренные порядком санкционирования целевых средств;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1.3.3. указывать в заключаемых им Контрактах (договорах), а также в распоряжениях о совершении казначейских платежей (далее - распоряжения), и док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ументах, установленных Порядком санкционирования, идентификатор государственного контракта, сформированный в соответствии с Порядком формирования идентификатора Контракта, договора (соглашения) при казначейском сопровождении средств, утвержденным приказом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Минфина России от 2 декабря 2021 № 205н (далее - Порядок № 205н), а также обеспечить включение аналогичных обязательств в контракты (договоры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),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заключаемые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соисполнителями.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1..3.4. вести раздельный учет результатов финансово-хозяйственной деятельности в соответствии с Порядком ведения учета доходов, затрат, произведенных уч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астниками казначейского сопровождения в целях достижения результатов, установленных при предоставлении целевых средств, по каждому контракту, договору (соглашению), утвержденным приказом Минфина России от 10 декабря 2021 г. № 210н (далее - Порядок № 210н).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1.3.5. представлять в территориальные органы Федерального казначейства сведения об операциях с целевыми средствами, сформированные и утвержденные в порядке и по форме, которые предусмотрены Порядком санкционирования, в целях санкционирования расходов.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1.4. Подрядчик не вправе перечислять средства с лицевого счета: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1..4.1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 в качестве взноса в уставный (складочный) капитал другого юридического лица (дочернего общества юридического лица), вклада в имущество другого юридического лица (дочернего общества юридического лица), не увеличивающего его уставный (складочный) капитал.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1.4.2. на свои счета, открытые в учреждении Центрального банка Российской Федерации или в кредитной организации (далее - банк), за исключением: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 оплаты обязательств в соответствии с валютным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 оплаты фактически выполненных работ, в случае, если Подрядчик не привлекает для выполнения работ иных юридическ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их лиц, а также при условии представления документов, установленных Порядком санкционирования, подтверждающих возникновение денежных обязательств, и (или) иных документов, предусмотренных контрактами, контрактами (договорами) (далее - документы-основания).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 возмещения произведенных Подрядчиком расходов (части расходов) при условии представления документов-оснований, копий платежных документов, подтверждающих оплату произведенных расходов (части расходов).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 оплаты обязательств по накладным расходам в соответствии с Порядком санкционирования.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 оплаты 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бязательств юридического лица по оплате труда с учетом начислений и социальных выплат, иных выплат в пользу работников, а также выплат лицам, не состоящим в штате юридического лица, привлеченным для достижения цели, определенной при предоставлении средств.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1..5.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Право на перечисление средств с лицевого счета на счета, открытые в банке юридическим лицам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издания, аренды,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осуществления работ по переносу (переустройству, присоединению) принадлежащих участникам казначейского сопровождения инженерных сетей, коммуникаций, сооружений, проведения государственной экспертизы проектной документации и результатов инженерных изысканий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приобретения услуг по приему платежей от физических лиц, осуществляемых платежными агентами.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1.6.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При наличии оснований, указанных в пунктах 10 и 11 статьи 242.13-1 Бюджетного кодекса Российской Федерации соответственно, операции на лицевом счете не осуществляются или в осуществлении 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перации на лицевом счете отказывается,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нарушений участниками казначейского сопровождения, утвержденным постановлением Правительства Российской Федерации от 25.12.2021 № 2483.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1.7. Операции с целевыми средствами, отраженными на лицевых счетах, проводятся после осуществления территориальным органом Федерального казначейства санкционирования операций с целевыми средствами участни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ков казначейского сопровождения в соответствии с Порядком санкционирования на основании документов-оснований и сведений об операциях с целевыми средствами, сформированных и утвержденных в порядке и по форме, которые предусмотрены Порядком санкционирования;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1.8. Операции по зачислению целевых средств на лицевые счета и списанию целевых сре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дств с 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ицевых счетов осуществляются при указании в распоряжениях, а также в документах-основаниях идентификатора Контракта, сформированного в соответствии с Порядком № 205н.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240" w:line="450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8. ГАРАНТИЙНЫЕ ОБЯЗАТЕЛЬСТВА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tbl>
      <w:tblPr>
        <w:tblW w:w="9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699"/>
        <w:gridCol w:w="4945"/>
      </w:tblGrid>
      <w:tr>
        <w:tblPrEx/>
        <w:trPr>
          <w:tblHeader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Объект гарантии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945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60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Строительно-монтажные работы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945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пять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даты подписания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итогового акта приемки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Оборудование (СОУ,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термокосы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, датчики)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945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Согласно паспорту завода-изготовителя, но не менее 2 (двух)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9. КРИТЕРИИ ОЦЕНКИ ЗАЯВОК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tbl>
      <w:tblPr>
        <w:tblW w:w="9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053"/>
        <w:gridCol w:w="2205"/>
        <w:gridCol w:w="5386"/>
      </w:tblGrid>
      <w:tr>
        <w:tblPrEx/>
        <w:trPr>
          <w:tblHeader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1990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Критерий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Максимальный балл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Порядок оценки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1990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Цена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Чем ниже цена, тем выше балл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1990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выполнения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Чем меньше срок, тем выше балл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1990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Квалификация участника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Оценивается по подкритериям: опыт работы, квалификация персонала, техника безопасности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1990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f1115"/>
          <w:sz w:val="24"/>
          <w:szCs w:val="24"/>
          <w:lang w:eastAsia="ru-RU"/>
        </w:rPr>
        <w:t xml:space="preserve">Детальная методика расчета баллов приведена в конкурсной документации (раздел 4).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jc w:val="center"/>
        <w:spacing w:after="240" w:line="450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10. ПОРЯДОК ПОДАЧИ ЗАЯВОК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tbl>
      <w:tblPr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10"/>
        <w:gridCol w:w="6946"/>
      </w:tblGrid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начала подачи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6946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момента размещения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извещения на сайте заказчика –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«20»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февраля 2026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и время окончания подачи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6946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«20» марта 2026 г., 16:00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(по местному времени)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подачи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6946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663300, Красноярский край, г. Норильск, ул. Комсомольская, 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26А, 2 этаж,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205 (приемная)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Порядок подачи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6946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 подается в письменной форме в запечатанном конверте, не позволяющем просматривать содержимое до вскрытия. Конверт доставляется лично или почтой/курьером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вскрытия конвертов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6946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» марта 2026 г., 11:00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(по местному времени)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рассмотрения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6946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» марта 2026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рассмотрения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6946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календарных дней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даты вскрытия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конвертов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11. ПОРЯДОК ПРЕДОСТАВЛЕНИЯ РАЗЪЯСНЕНИЙ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ind w:firstLine="709"/>
        <w:jc w:val="both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Участник закупки вправе направить в письменной форме заказчику запрос о даче разъяснений положений конкурсной документации. В течение 2 (двух) рабочих дней с даты поступления запроса заказчик обязан направить разъяснения, если запрос поступил не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позднее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чем за 5 (пять) календарных дней до даты окончания срока подачи заявок.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firstLine="709"/>
        <w:jc w:val="both"/>
        <w:spacing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Запросы направляются на электронную почту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hyperlink r:id="rId14" w:tooltip="mailto:jil_trest@mail.ru" w:history="1">
        <w:r>
          <w:rPr>
            <w:rStyle w:val="636"/>
            <w:rFonts w:ascii="Times New Roman" w:hAnsi="Times New Roman" w:eastAsia="Times New Roman" w:cs="Times New Roman"/>
            <w:b/>
            <w:bCs/>
            <w:sz w:val="24"/>
            <w:szCs w:val="24"/>
            <w:lang w:eastAsia="ru-RU"/>
          </w:rPr>
          <w:t xml:space="preserve">jil_trest@mail.ru</w:t>
        </w:r>
      </w:hyperlink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или по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адресу: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663300, Красноярский край, г. Норильск, ул. 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Комсомольская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, д. 26А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пометкой «Запрос разъяснений по конкурсу № ЗЖТ-0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/2026».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jc w:val="center"/>
        <w:spacing w:after="24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12. СРОК ПОДПИСАНИЯ ДОГОВОРА ПОБЕДИТЕЛЕМ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ind w:firstLine="709"/>
        <w:jc w:val="both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Не позднее чем через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10 (десять) дней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 даты размещения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на сайте заказчика протокола рассмотрения и оценки заявок.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jc w:val="center"/>
        <w:spacing w:after="24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13. ПОРЯДОК ПРИЗНАНИЯ УЧАСТНИКА 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УКЛОНИВШИМСЯ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 ОТ ЗАКЛЮЧЕНИЯ ДОГОВОРА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ind w:firstLine="709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Победитель конкурса признается уклонившимся от заключения договора в случаях: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709"/>
        <w:spacing w:after="0" w:line="240" w:lineRule="auto"/>
        <w:shd w:val="clear" w:color="auto" w:fill="ffffff"/>
        <w:tabs>
          <w:tab w:val="clear" w:pos="720" w:leader="none"/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нарушения срока подписания договора;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709"/>
        <w:spacing w:after="0" w:line="240" w:lineRule="auto"/>
        <w:shd w:val="clear" w:color="auto" w:fill="ffffff"/>
        <w:tabs>
          <w:tab w:val="clear" w:pos="720" w:leader="none"/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нарушения срока направления протокола разногласий;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709"/>
        <w:spacing w:after="0" w:line="240" w:lineRule="auto"/>
        <w:shd w:val="clear" w:color="auto" w:fill="ffffff"/>
        <w:tabs>
          <w:tab w:val="clear" w:pos="720" w:leader="none"/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непредоставления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или несоответствия обеспечения исполнения договора;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709"/>
        <w:spacing w:after="0" w:line="240" w:lineRule="auto"/>
        <w:shd w:val="clear" w:color="auto" w:fill="ffffff"/>
        <w:tabs>
          <w:tab w:val="clear" w:pos="720" w:leader="none"/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признания информации, подтверждающей добросовестность, недостоверной.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jc w:val="center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14. ВОЗМОЖНОСТЬ ОДНОСТОРОННЕГО ОТКАЗА ОТ ИСПОЛНЕНИЯ ДОГОВОРА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ind w:firstLine="709"/>
        <w:spacing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Предусмотрена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в соответствии со ст. 95 Федерального закона от 05.04.2013 № 44-ФЗ (в части, применимой к отношениям сторон).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jc w:val="center"/>
        <w:spacing w:after="24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15. ПЕРЕЧЕНЬ ПРИЛАГАЕМЫХ ДОКУМЕНТОВ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numPr>
          <w:ilvl w:val="0"/>
          <w:numId w:val="2"/>
        </w:numPr>
        <w:ind w:left="0" w:firstLine="709"/>
        <w:spacing w:before="100" w:beforeAutospacing="1" w:after="0" w:line="240" w:lineRule="auto"/>
        <w:shd w:val="clear" w:color="auto" w:fill="ffffff"/>
        <w:tabs>
          <w:tab w:val="clear" w:pos="720" w:leader="none"/>
          <w:tab w:val="num" w:pos="993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  <w:t xml:space="preserve">Конкурсная документация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(полный текст).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spacing w:before="100" w:beforeAutospacing="1" w:after="0" w:line="240" w:lineRule="auto"/>
        <w:shd w:val="clear" w:color="auto" w:fill="ffffff"/>
        <w:tabs>
          <w:tab w:val="clear" w:pos="720" w:leader="none"/>
          <w:tab w:val="num" w:pos="993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  <w:t xml:space="preserve">Приложение №1 – Техническое задание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spacing w:before="100" w:beforeAutospacing="1" w:after="0" w:line="240" w:lineRule="auto"/>
        <w:shd w:val="clear" w:color="auto" w:fill="ffffff"/>
        <w:tabs>
          <w:tab w:val="clear" w:pos="720" w:leader="none"/>
          <w:tab w:val="num" w:pos="993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  <w:t xml:space="preserve">Приложение №2 – Сводный сметный расчет (ССР)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spacing w:before="100" w:beforeAutospacing="1" w:after="0" w:line="240" w:lineRule="auto"/>
        <w:shd w:val="clear" w:color="auto" w:fill="ffffff"/>
        <w:tabs>
          <w:tab w:val="clear" w:pos="720" w:leader="none"/>
          <w:tab w:val="num" w:pos="993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  <w:t xml:space="preserve">Приложение №3 – Проект договора строительного подряда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spacing w:before="100" w:beforeAutospacing="1" w:after="0" w:line="240" w:lineRule="auto"/>
        <w:shd w:val="clear" w:color="auto" w:fill="ffffff"/>
        <w:tabs>
          <w:tab w:val="clear" w:pos="720" w:leader="none"/>
          <w:tab w:val="num" w:pos="993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  <w:t xml:space="preserve">Приложение №4 – Форма заявки на участие в конкурсе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jc w:val="center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16. МЕСТО РАЗМЕЩЕНИЯ ДОКУМЕНТАЦИИ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ind w:firstLine="709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Вся документация доступна для ознакомления и скачивания на официальном сайте Заказчика: </w:t>
      </w:r>
      <w:hyperlink r:id="rId15" w:tooltip="http://xn----ktbhiekhqld0j.xn--p1ai/" w:history="1">
        <w:r>
          <w:rPr>
            <w:rFonts w:ascii="Times New Roman" w:hAnsi="Times New Roman" w:eastAsia="Times New Roman" w:cs="Times New Roman"/>
            <w:b/>
            <w:bCs/>
            <w:color w:val="3964fe"/>
            <w:sz w:val="24"/>
            <w:szCs w:val="24"/>
            <w:lang w:eastAsia="ru-RU"/>
          </w:rPr>
          <w:t xml:space="preserve">http://жт-норильск.рф</w:t>
        </w:r>
      </w:hyperlink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в разделе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«Закупк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и ООО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 "ЗЖТ"»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jc w:val="center"/>
        <w:spacing w:after="240" w:line="450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17. КОНТАКТНАЯ ИНФОРМАЦИЯ ДЛЯ СВЯЗИ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ind w:firstLine="709"/>
        <w:jc w:val="both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По всем вопросам, связанным с участием в конкурсе, обращаться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tbl>
      <w:tblPr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77"/>
        <w:gridCol w:w="4111"/>
        <w:gridCol w:w="2268"/>
      </w:tblGrid>
      <w:tr>
        <w:tblPrEx/>
        <w:trPr>
          <w:tblHeader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ind w:left="28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111" w:type="dxa"/>
            <w:vAlign w:val="center"/>
            <w:textDirection w:val="lrTb"/>
            <w:noWrap w:val="false"/>
          </w:tcPr>
          <w:p>
            <w:pPr>
              <w:ind w:left="28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ind w:left="28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Специалист ООО «Заполярный жилищный трест»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111" w:type="dxa"/>
            <w:vAlign w:val="center"/>
            <w:textDirection w:val="lrTb"/>
            <w:noWrap w:val="false"/>
          </w:tcPr>
          <w:p>
            <w:pPr>
              <w:ind w:left="28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Ахметов Александр Садыкович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8-923-364-64-44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ind w:left="28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Юрист по правовым вопросам (заключение договора)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111" w:type="dxa"/>
            <w:vAlign w:val="center"/>
            <w:textDirection w:val="lrTb"/>
            <w:noWrap w:val="false"/>
          </w:tcPr>
          <w:p>
            <w:pPr>
              <w:ind w:left="28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Куфтанова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+7 (3919) 46-73-71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  <w:t xml:space="preserve">Заказчик: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  <w:t xml:space="preserve">Генеральный директор</w:t>
      </w: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ООО «Заполярный жилищный трест»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___________________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/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О.Б. Арапова /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7"/>
    <w:link w:val="626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7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7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1"/>
    <w:basedOn w:val="623"/>
    <w:link w:val="63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25">
    <w:name w:val="Heading 2"/>
    <w:basedOn w:val="623"/>
    <w:link w:val="63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26">
    <w:name w:val="Heading 3"/>
    <w:basedOn w:val="623"/>
    <w:link w:val="632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character" w:styleId="630" w:customStyle="1">
    <w:name w:val="Заголовок 1 Знак"/>
    <w:basedOn w:val="627"/>
    <w:link w:val="624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31" w:customStyle="1">
    <w:name w:val="Заголовок 2 Знак"/>
    <w:basedOn w:val="627"/>
    <w:link w:val="625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32" w:customStyle="1">
    <w:name w:val="Заголовок 3 Знак"/>
    <w:basedOn w:val="627"/>
    <w:link w:val="626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33" w:customStyle="1">
    <w:name w:val="ds-markdown-paragraph"/>
    <w:basedOn w:val="6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4">
    <w:name w:val="Strong"/>
    <w:basedOn w:val="627"/>
    <w:uiPriority w:val="22"/>
    <w:qFormat/>
    <w:rPr>
      <w:b/>
      <w:bCs/>
    </w:rPr>
  </w:style>
  <w:style w:type="character" w:styleId="635">
    <w:name w:val="Emphasis"/>
    <w:basedOn w:val="627"/>
    <w:uiPriority w:val="20"/>
    <w:qFormat/>
    <w:rPr>
      <w:i/>
      <w:iCs/>
    </w:rPr>
  </w:style>
  <w:style w:type="character" w:styleId="636">
    <w:name w:val="Hyperlink"/>
    <w:basedOn w:val="627"/>
    <w:uiPriority w:val="99"/>
    <w:unhideWhenUsed/>
    <w:rPr>
      <w:color w:val="0000ff"/>
      <w:u w:val="single"/>
    </w:rPr>
  </w:style>
  <w:style w:type="paragraph" w:styleId="637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4" Type="http://schemas.openxmlformats.org/officeDocument/2006/relationships/hyperlink" Target="mailto:jil_trest@mail.ru" TargetMode="External"/><Relationship Id="rId15" Type="http://schemas.openxmlformats.org/officeDocument/2006/relationships/hyperlink" Target="http://xn----ktbhiekhqld0j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8C7A0-8B4A-41EF-A0F3-B5EC5BCE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Аноним</cp:lastModifiedBy>
  <cp:revision>9</cp:revision>
  <dcterms:created xsi:type="dcterms:W3CDTF">2026-02-20T16:21:00Z</dcterms:created>
  <dcterms:modified xsi:type="dcterms:W3CDTF">2026-03-20T02:52:36Z</dcterms:modified>
</cp:coreProperties>
</file>